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817880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478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5"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51"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97"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2"/>
          <w:szCs w:val="22"/>
          <w:color w:val="auto"/>
        </w:rPr>
        <w:t>CURRENT REPORT</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Pursuant to Section 13 or 15(d) of The Securities Exchange Act of 1934</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3, 2026</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WESTERN FINANCIAL, INC.</w:t>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225" w:lineRule="exact"/>
        <w:rPr>
          <w:sz w:val="24"/>
          <w:szCs w:val="24"/>
          <w:color w:val="auto"/>
        </w:rPr>
      </w:pPr>
    </w:p>
    <w:tbl>
      <w:tblPr>
        <w:tblLayout w:type="fixed"/>
        <w:tblInd w:w="840" w:type="dxa"/>
        <w:tblCellMar>
          <w:top w:w="0" w:type="dxa"/>
          <w:left w:w="0" w:type="dxa"/>
          <w:bottom w:w="0" w:type="dxa"/>
          <w:right w:w="0" w:type="dxa"/>
        </w:tblCellMar>
      </w:tblPr>
      <w:tr>
        <w:trPr>
          <w:trHeight w:val="238"/>
        </w:trPr>
        <w:tc>
          <w:tcPr>
            <w:tcW w:w="358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Colorado</w:t>
            </w:r>
          </w:p>
        </w:tc>
        <w:tc>
          <w:tcPr>
            <w:tcW w:w="278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001-38595</w:t>
            </w:r>
          </w:p>
        </w:tc>
        <w:tc>
          <w:tcPr>
            <w:tcW w:w="24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37-1442266</w:t>
            </w:r>
          </w:p>
        </w:tc>
      </w:tr>
      <w:tr>
        <w:trPr>
          <w:trHeight w:val="225"/>
        </w:trPr>
        <w:tc>
          <w:tcPr>
            <w:tcW w:w="358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7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8"/>
              </w:rPr>
              <w:t>(Commission</w:t>
            </w:r>
          </w:p>
        </w:tc>
        <w:tc>
          <w:tcPr>
            <w:tcW w:w="244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58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78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8"/>
              </w:rPr>
              <w:t>File Number)</w:t>
            </w:r>
          </w:p>
        </w:tc>
        <w:tc>
          <w:tcPr>
            <w:tcW w:w="244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42"/>
        </w:trPr>
        <w:tc>
          <w:tcPr>
            <w:tcW w:w="358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1900 16th Street, Suite 1200</w:t>
            </w:r>
          </w:p>
        </w:tc>
        <w:tc>
          <w:tcPr>
            <w:tcW w:w="27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61"/>
        </w:trPr>
        <w:tc>
          <w:tcPr>
            <w:tcW w:w="3580" w:type="dxa"/>
            <w:vAlign w:val="bottom"/>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9"/>
              </w:rPr>
              <w:t>Denver, Colorado</w:t>
            </w:r>
          </w:p>
        </w:tc>
        <w:tc>
          <w:tcPr>
            <w:tcW w:w="2780" w:type="dxa"/>
            <w:vAlign w:val="bottom"/>
          </w:tcPr>
          <w:p>
            <w:pPr>
              <w:spacing w:after="0"/>
              <w:rPr>
                <w:sz w:val="22"/>
                <w:szCs w:val="22"/>
                <w:color w:val="auto"/>
              </w:rPr>
            </w:pPr>
          </w:p>
        </w:tc>
        <w:tc>
          <w:tcPr>
            <w:tcW w:w="24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80202</w:t>
            </w:r>
          </w:p>
        </w:tc>
      </w:tr>
      <w:tr>
        <w:trPr>
          <w:trHeight w:val="234"/>
        </w:trPr>
        <w:tc>
          <w:tcPr>
            <w:tcW w:w="358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780" w:type="dxa"/>
            <w:vAlign w:val="bottom"/>
          </w:tcPr>
          <w:p>
            <w:pPr>
              <w:spacing w:after="0"/>
              <w:rPr>
                <w:sz w:val="20"/>
                <w:szCs w:val="20"/>
                <w:color w:val="auto"/>
              </w:rPr>
            </w:pPr>
          </w:p>
        </w:tc>
        <w:tc>
          <w:tcPr>
            <w:tcW w:w="244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303.531.8100</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Former name or former address, if changed since last report: </w:t>
      </w:r>
      <w:r>
        <w:rPr>
          <w:rFonts w:ascii="Times New Roman" w:cs="Times New Roman" w:eastAsia="Times New Roman" w:hAnsi="Times New Roman"/>
          <w:sz w:val="18"/>
          <w:szCs w:val="18"/>
          <w:b w:val="1"/>
          <w:bCs w:val="1"/>
          <w:color w:val="auto"/>
        </w:rPr>
        <w:t>Not Applicable</w:t>
      </w:r>
    </w:p>
    <w:p>
      <w:pPr>
        <w:spacing w:after="0" w:line="18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74"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420" w:hanging="394"/>
        <w:spacing w:after="0"/>
        <w:tabs>
          <w:tab w:leader="none" w:pos="42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Emerging growth company</w:t>
      </w:r>
    </w:p>
    <w:p>
      <w:pPr>
        <w:spacing w:after="0" w:line="198" w:lineRule="exact"/>
        <w:rPr>
          <w:rFonts w:ascii="Wingdings" w:cs="Wingdings" w:eastAsia="Wingdings" w:hAnsi="Wingdings"/>
          <w:sz w:val="18"/>
          <w:szCs w:val="18"/>
          <w:b w:val="1"/>
          <w:bCs w:val="1"/>
          <w:color w:val="auto"/>
        </w:rPr>
      </w:pPr>
    </w:p>
    <w:p>
      <w:pPr>
        <w:ind w:left="420" w:right="100" w:hanging="394"/>
        <w:spacing w:after="0" w:line="282" w:lineRule="auto"/>
        <w:tabs>
          <w:tab w:leader="none" w:pos="42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280" w:type="dxa"/>
            <w:vAlign w:val="bottom"/>
          </w:tcPr>
          <w:p>
            <w:pPr>
              <w:spacing w:after="0"/>
              <w:rPr>
                <w:sz w:val="16"/>
                <w:szCs w:val="16"/>
                <w:color w:val="auto"/>
              </w:rPr>
            </w:pPr>
          </w:p>
        </w:tc>
        <w:tc>
          <w:tcPr>
            <w:tcW w:w="442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540" w:type="dxa"/>
            <w:vAlign w:val="bottom"/>
          </w:tcPr>
          <w:p>
            <w:pPr>
              <w:spacing w:after="0"/>
              <w:rPr>
                <w:sz w:val="16"/>
                <w:szCs w:val="16"/>
                <w:color w:val="auto"/>
              </w:rPr>
            </w:pPr>
          </w:p>
        </w:tc>
      </w:tr>
      <w:tr>
        <w:trPr>
          <w:trHeight w:val="216"/>
        </w:trPr>
        <w:tc>
          <w:tcPr>
            <w:tcW w:w="328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42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54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2"/>
        </w:trPr>
        <w:tc>
          <w:tcPr>
            <w:tcW w:w="3280" w:type="dxa"/>
            <w:vAlign w:val="bottom"/>
          </w:tcPr>
          <w:p>
            <w:pPr>
              <w:jc w:val="center"/>
              <w:ind w:left="408"/>
              <w:spacing w:after="0"/>
              <w:rPr>
                <w:sz w:val="20"/>
                <w:szCs w:val="20"/>
                <w:color w:val="auto"/>
              </w:rPr>
            </w:pPr>
            <w:r>
              <w:rPr>
                <w:rFonts w:ascii="Times New Roman" w:cs="Times New Roman" w:eastAsia="Times New Roman" w:hAnsi="Times New Roman"/>
                <w:sz w:val="14"/>
                <w:szCs w:val="14"/>
                <w:color w:val="auto"/>
              </w:rPr>
              <w:t>Common Stock, no par value</w:t>
            </w:r>
          </w:p>
        </w:tc>
        <w:tc>
          <w:tcPr>
            <w:tcW w:w="442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MYFW</w:t>
            </w:r>
          </w:p>
        </w:tc>
        <w:tc>
          <w:tcPr>
            <w:tcW w:w="354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NASDAQ Stock Market LLC</w:t>
            </w:r>
          </w:p>
        </w:tc>
      </w:tr>
      <w:tr>
        <w:trPr>
          <w:trHeight w:val="348"/>
        </w:trPr>
        <w:tc>
          <w:tcPr>
            <w:tcW w:w="328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r>
      <w:tr>
        <w:trPr>
          <w:trHeight w:val="20"/>
        </w:trPr>
        <w:tc>
          <w:tcPr>
            <w:tcW w:w="3280" w:type="dxa"/>
            <w:vAlign w:val="bottom"/>
            <w:tcBorders>
              <w:bottom w:val="single" w:sz="8" w:color="auto"/>
            </w:tcBorders>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r>
      <w:tr>
        <w:trPr>
          <w:trHeight w:val="1000"/>
        </w:trPr>
        <w:tc>
          <w:tcPr>
            <w:tcW w:w="328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First Western Financial, Inc. (the “Company”) held the Annual Meeting on June 3, 2026. At the Annual Meeting, the Company’s shareholders (i) elected eleven directors to serve on the Board of Directors until the Company’s 2027 annual meeting of shareholders or each until their respective successor or successors are duly elected and qualified or until their earlier resignation or removal; (ii) ratified the appointment of Crowe LLP as the independent registered public accounting firm of the Company for the year ending December 31, 2026; and (iii) approved an advisory, non-binding vote regarding the compensation paid to the Company's named executive officers. The proposals are described in detail in the Company’s Proxy Statement for the Annual Meeting, which was filed with the SEC on April 24, 2026. The final voting results for each proposal are presented below.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1 – Election of Directors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Annual Meeting, the Company’s shareholders elected eleven directors to serve on the Board of Directors until the Company’s 2027 annual meeting</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of shareholders or each until their respective successor or successors are duly elected and qualified or until their earlier resignation or removal. The table below presents the final voting results for this proposal:</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250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500" w:type="dxa"/>
            <w:vAlign w:val="bottom"/>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Votes Withheld</w:t>
            </w:r>
          </w:p>
        </w:tc>
        <w:tc>
          <w:tcPr>
            <w:tcW w:w="224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30"/>
        </w:trPr>
        <w:tc>
          <w:tcPr>
            <w:tcW w:w="35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Scott C. Wylie</w:t>
            </w:r>
          </w:p>
        </w:tc>
        <w:tc>
          <w:tcPr>
            <w:tcW w:w="24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6,058,928</w:t>
            </w:r>
          </w:p>
        </w:tc>
        <w:tc>
          <w:tcPr>
            <w:tcW w:w="26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29,864</w:t>
            </w:r>
          </w:p>
        </w:tc>
        <w:tc>
          <w:tcPr>
            <w:tcW w:w="26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670,427</w:t>
            </w:r>
          </w:p>
        </w:tc>
      </w:tr>
      <w:tr>
        <w:trPr>
          <w:trHeight w:val="22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Julie A. Caponi</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5,783,658</w:t>
            </w:r>
          </w:p>
        </w:tc>
        <w:tc>
          <w:tcPr>
            <w:tcW w:w="26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305,134</w:t>
            </w:r>
          </w:p>
        </w:tc>
        <w:tc>
          <w:tcPr>
            <w:tcW w:w="26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670,427</w:t>
            </w:r>
          </w:p>
        </w:tc>
      </w:tr>
      <w:tr>
        <w:trPr>
          <w:trHeight w:val="229"/>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Julie A. Courkamp</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6,047,619</w:t>
            </w:r>
          </w:p>
        </w:tc>
        <w:tc>
          <w:tcPr>
            <w:tcW w:w="26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41,173</w:t>
            </w:r>
          </w:p>
        </w:tc>
        <w:tc>
          <w:tcPr>
            <w:tcW w:w="26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670,427</w:t>
            </w:r>
          </w:p>
        </w:tc>
      </w:tr>
      <w:tr>
        <w:trPr>
          <w:trHeight w:val="23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R. Duncan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5,827,739</w:t>
            </w:r>
          </w:p>
        </w:tc>
        <w:tc>
          <w:tcPr>
            <w:tcW w:w="26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261,053</w:t>
            </w:r>
          </w:p>
        </w:tc>
        <w:tc>
          <w:tcPr>
            <w:tcW w:w="26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670,427</w:t>
            </w:r>
          </w:p>
        </w:tc>
      </w:tr>
      <w:tr>
        <w:trPr>
          <w:trHeight w:val="229"/>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A. Gart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5,629,770</w:t>
            </w:r>
          </w:p>
        </w:tc>
        <w:tc>
          <w:tcPr>
            <w:tcW w:w="26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459,022</w:t>
            </w:r>
          </w:p>
        </w:tc>
        <w:tc>
          <w:tcPr>
            <w:tcW w:w="26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670,427</w:t>
            </w:r>
          </w:p>
        </w:tc>
      </w:tr>
      <w:tr>
        <w:trPr>
          <w:trHeight w:val="22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Patrick H. Hamill</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5,765,781</w:t>
            </w:r>
          </w:p>
        </w:tc>
        <w:tc>
          <w:tcPr>
            <w:tcW w:w="26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323,011</w:t>
            </w:r>
          </w:p>
        </w:tc>
        <w:tc>
          <w:tcPr>
            <w:tcW w:w="26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670,427</w:t>
            </w:r>
          </w:p>
        </w:tc>
      </w:tr>
      <w:tr>
        <w:trPr>
          <w:trHeight w:val="230"/>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Luke A. Latimer</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6,046,846</w:t>
            </w:r>
          </w:p>
        </w:tc>
        <w:tc>
          <w:tcPr>
            <w:tcW w:w="26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41,946</w:t>
            </w:r>
          </w:p>
        </w:tc>
        <w:tc>
          <w:tcPr>
            <w:tcW w:w="26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670,427</w:t>
            </w:r>
          </w:p>
        </w:tc>
      </w:tr>
      <w:tr>
        <w:trPr>
          <w:trHeight w:val="22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 C. Mitchell</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6,067,380</w:t>
            </w:r>
          </w:p>
        </w:tc>
        <w:tc>
          <w:tcPr>
            <w:tcW w:w="26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21,412</w:t>
            </w:r>
          </w:p>
        </w:tc>
        <w:tc>
          <w:tcPr>
            <w:tcW w:w="26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670,427</w:t>
            </w:r>
          </w:p>
        </w:tc>
      </w:tr>
      <w:tr>
        <w:trPr>
          <w:trHeight w:val="230"/>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Ellen S. Robinson</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6,056,427</w:t>
            </w:r>
          </w:p>
        </w:tc>
        <w:tc>
          <w:tcPr>
            <w:tcW w:w="26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32,365</w:t>
            </w:r>
          </w:p>
        </w:tc>
        <w:tc>
          <w:tcPr>
            <w:tcW w:w="26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670,427</w:t>
            </w:r>
          </w:p>
        </w:tc>
      </w:tr>
      <w:tr>
        <w:trPr>
          <w:trHeight w:val="229"/>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Mark L. Smith</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5,958,377</w:t>
            </w:r>
          </w:p>
        </w:tc>
        <w:tc>
          <w:tcPr>
            <w:tcW w:w="26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130,415</w:t>
            </w:r>
          </w:p>
        </w:tc>
        <w:tc>
          <w:tcPr>
            <w:tcW w:w="26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670,427</w:t>
            </w:r>
          </w:p>
        </w:tc>
      </w:tr>
      <w:tr>
        <w:trPr>
          <w:trHeight w:val="230"/>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Joseph C. Zimlich</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5,847,745</w:t>
            </w:r>
          </w:p>
        </w:tc>
        <w:tc>
          <w:tcPr>
            <w:tcW w:w="26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241,047</w:t>
            </w:r>
          </w:p>
        </w:tc>
        <w:tc>
          <w:tcPr>
            <w:tcW w:w="26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670,427</w:t>
            </w: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2 – Ratification of Appointment of Crowe LLP as the Company’s Independent Registered Public Accounting Firm</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Annual Meeting, the Company’s shareholders ratified the appointment of Crowe LLP as the independent registered public accounting firm of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for the year ending December 31, 2026. The table below presents the final voting results for this proposal:</w:t>
      </w:r>
    </w:p>
    <w:p>
      <w:pPr>
        <w:spacing w:after="0" w:line="172" w:lineRule="exact"/>
        <w:rPr>
          <w:sz w:val="20"/>
          <w:szCs w:val="20"/>
          <w:color w:val="auto"/>
        </w:rPr>
      </w:pPr>
    </w:p>
    <w:tbl>
      <w:tblPr>
        <w:tblLayout w:type="fixed"/>
        <w:tblInd w:w="1200" w:type="dxa"/>
        <w:tblCellMar>
          <w:top w:w="0" w:type="dxa"/>
          <w:left w:w="0" w:type="dxa"/>
          <w:bottom w:w="0" w:type="dxa"/>
          <w:right w:w="0" w:type="dxa"/>
        </w:tblCellMar>
      </w:tblPr>
      <w:tr>
        <w:trPr>
          <w:trHeight w:val="190"/>
        </w:trPr>
        <w:tc>
          <w:tcPr>
            <w:tcW w:w="3040" w:type="dxa"/>
            <w:vAlign w:val="bottom"/>
            <w:gridSpan w:val="2"/>
          </w:tcPr>
          <w:p>
            <w:pPr>
              <w:ind w:left="108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3040" w:type="dxa"/>
            <w:vAlign w:val="bottom"/>
            <w:gridSpan w:val="2"/>
          </w:tcPr>
          <w:p>
            <w:pPr>
              <w:ind w:left="96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760" w:type="dxa"/>
            <w:vAlign w:val="bottom"/>
          </w:tcPr>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30"/>
        </w:trPr>
        <w:tc>
          <w:tcPr>
            <w:tcW w:w="27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r>
      <w:tr>
        <w:trPr>
          <w:trHeight w:val="230"/>
        </w:trPr>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6,578,057</w:t>
            </w:r>
          </w:p>
        </w:tc>
        <w:tc>
          <w:tcPr>
            <w:tcW w:w="300" w:type="dxa"/>
            <w:vAlign w:val="bottom"/>
            <w:shd w:val="clear" w:color="auto" w:fill="CCEEFF"/>
          </w:tcPr>
          <w:p>
            <w:pPr>
              <w:spacing w:after="0"/>
              <w:rPr>
                <w:sz w:val="19"/>
                <w:szCs w:val="19"/>
                <w:color w:val="auto"/>
              </w:rPr>
            </w:pP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181,161</w:t>
            </w:r>
          </w:p>
        </w:tc>
        <w:tc>
          <w:tcPr>
            <w:tcW w:w="300" w:type="dxa"/>
            <w:vAlign w:val="bottom"/>
            <w:shd w:val="clear" w:color="auto" w:fill="CCEEFF"/>
          </w:tcPr>
          <w:p>
            <w:pPr>
              <w:spacing w:after="0"/>
              <w:rPr>
                <w:sz w:val="19"/>
                <w:szCs w:val="19"/>
                <w:color w:val="auto"/>
              </w:rPr>
            </w:pP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3 – Advisory, Non-Binding Vote to Approve the Compensation Paid to the Company’s Named Executive Officers</w:t>
      </w:r>
    </w:p>
    <w:p>
      <w:pPr>
        <w:spacing w:after="0" w:line="24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At the Annual Meeting, the Company’s shareholders approved, on an advisory, non-binding basis, the compensation of the Company’s named executive officers. The table below presents the final voting results for this proposal:</w:t>
      </w:r>
    </w:p>
    <w:p>
      <w:pPr>
        <w:spacing w:after="0" w:line="179" w:lineRule="exact"/>
        <w:rPr>
          <w:sz w:val="20"/>
          <w:szCs w:val="20"/>
          <w:color w:val="auto"/>
        </w:rPr>
      </w:pPr>
    </w:p>
    <w:tbl>
      <w:tblPr>
        <w:tblLayout w:type="fixed"/>
        <w:tblInd w:w="1200" w:type="dxa"/>
        <w:tblCellMar>
          <w:top w:w="0" w:type="dxa"/>
          <w:left w:w="0" w:type="dxa"/>
          <w:bottom w:w="0" w:type="dxa"/>
          <w:right w:w="0" w:type="dxa"/>
        </w:tblCellMar>
      </w:tblPr>
      <w:tr>
        <w:trPr>
          <w:trHeight w:val="190"/>
        </w:trPr>
        <w:tc>
          <w:tcPr>
            <w:tcW w:w="3040" w:type="dxa"/>
            <w:vAlign w:val="bottom"/>
            <w:gridSpan w:val="2"/>
          </w:tcPr>
          <w:p>
            <w:pPr>
              <w:ind w:left="108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3040" w:type="dxa"/>
            <w:vAlign w:val="bottom"/>
            <w:gridSpan w:val="2"/>
          </w:tcPr>
          <w:p>
            <w:pPr>
              <w:ind w:left="96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760" w:type="dxa"/>
            <w:vAlign w:val="bottom"/>
          </w:tcPr>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30"/>
        </w:trPr>
        <w:tc>
          <w:tcPr>
            <w:tcW w:w="27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r>
      <w:tr>
        <w:trPr>
          <w:trHeight w:val="230"/>
        </w:trPr>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4,865,971</w:t>
            </w:r>
          </w:p>
        </w:tc>
        <w:tc>
          <w:tcPr>
            <w:tcW w:w="300" w:type="dxa"/>
            <w:vAlign w:val="bottom"/>
            <w:shd w:val="clear" w:color="auto" w:fill="CCEEFF"/>
          </w:tcPr>
          <w:p>
            <w:pPr>
              <w:spacing w:after="0"/>
              <w:rPr>
                <w:sz w:val="19"/>
                <w:szCs w:val="19"/>
                <w:color w:val="auto"/>
              </w:rPr>
            </w:pP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1,218,437</w:t>
            </w:r>
          </w:p>
        </w:tc>
        <w:tc>
          <w:tcPr>
            <w:tcW w:w="300" w:type="dxa"/>
            <w:vAlign w:val="bottom"/>
            <w:shd w:val="clear" w:color="auto" w:fill="CCEEFF"/>
          </w:tcPr>
          <w:p>
            <w:pPr>
              <w:spacing w:after="0"/>
              <w:rPr>
                <w:sz w:val="19"/>
                <w:szCs w:val="19"/>
                <w:color w:val="auto"/>
              </w:rPr>
            </w:pP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w:t>
            </w:r>
          </w:p>
        </w:tc>
      </w:tr>
    </w:tbl>
    <w:p>
      <w:pPr>
        <w:spacing w:after="0" w:line="200" w:lineRule="exact"/>
        <w:rPr>
          <w:sz w:val="20"/>
          <w:szCs w:val="20"/>
          <w:color w:val="auto"/>
        </w:rPr>
      </w:pPr>
    </w:p>
    <w:p>
      <w:pPr>
        <w:spacing w:after="0" w:line="29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89" w:lineRule="exact"/>
        <w:rPr>
          <w:sz w:val="20"/>
          <w:szCs w:val="20"/>
          <w:color w:val="auto"/>
        </w:rPr>
      </w:pPr>
    </w:p>
    <w:p>
      <w:pPr>
        <w:ind w:left="400" w:hanging="392"/>
        <w:spacing w:after="0"/>
        <w:tabs>
          <w:tab w:leader="none" w:pos="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Exhibit</w:t>
      </w:r>
    </w:p>
    <w:p>
      <w:pPr>
        <w:ind w:left="20"/>
        <w:spacing w:after="0" w:line="186" w:lineRule="auto"/>
        <w:tabs>
          <w:tab w:leader="none" w:pos="1000" w:val="left"/>
        </w:tabs>
        <w:rPr>
          <w:sz w:val="20"/>
          <w:szCs w:val="20"/>
          <w:color w:val="auto"/>
        </w:rPr>
      </w:pPr>
      <w:r>
        <w:rPr>
          <w:rFonts w:ascii="Times New Roman" w:cs="Times New Roman" w:eastAsia="Times New Roman" w:hAnsi="Times New Roman"/>
          <w:sz w:val="23"/>
          <w:szCs w:val="23"/>
          <w:color w:val="auto"/>
          <w:vertAlign w:val="superscript"/>
        </w:rPr>
        <w:t>Number</w:t>
      </w:r>
      <w:r>
        <w:rPr>
          <w:sz w:val="20"/>
          <w:szCs w:val="20"/>
          <w:color w:val="auto"/>
        </w:rPr>
        <w:tab/>
      </w:r>
      <w:r>
        <w:rPr>
          <w:rFonts w:ascii="Times New Roman" w:cs="Times New Roman" w:eastAsia="Times New Roman" w:hAnsi="Times New Roman"/>
          <w:sz w:val="12"/>
          <w:szCs w:val="12"/>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2" w:lineRule="exact"/>
        <w:rPr>
          <w:sz w:val="20"/>
          <w:szCs w:val="20"/>
          <w:color w:val="auto"/>
        </w:rPr>
      </w:pPr>
    </w:p>
    <w:p>
      <w:pPr>
        <w:ind w:left="20"/>
        <w:spacing w:after="0"/>
        <w:tabs>
          <w:tab w:leader="none" w:pos="10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(the cover page XBRL tags are embedded 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b w:val="1"/>
          <w:bCs w:val="1"/>
          <w:color w:val="auto"/>
        </w:rPr>
        <w:t>FIRST WESTERN FINANCIAL, INC.</w:t>
      </w:r>
    </w:p>
    <w:p>
      <w:pPr>
        <w:spacing w:after="0" w:line="351" w:lineRule="exact"/>
        <w:rPr>
          <w:sz w:val="20"/>
          <w:szCs w:val="20"/>
          <w:color w:val="auto"/>
        </w:rPr>
      </w:pPr>
    </w:p>
    <w:p>
      <w:pPr>
        <w:ind w:left="4880"/>
        <w:spacing w:after="0"/>
        <w:tabs>
          <w:tab w:leader="none" w:pos="6480" w:val="left"/>
        </w:tabs>
        <w:rPr>
          <w:sz w:val="20"/>
          <w:szCs w:val="20"/>
          <w:color w:val="auto"/>
        </w:rPr>
      </w:pPr>
      <w:r>
        <w:rPr>
          <w:rFonts w:ascii="Times New Roman" w:cs="Times New Roman" w:eastAsia="Times New Roman" w:hAnsi="Times New Roman"/>
          <w:sz w:val="18"/>
          <w:szCs w:val="18"/>
          <w:color w:val="auto"/>
        </w:rPr>
        <w:t>Date: June 5, 2026</w:t>
      </w:r>
      <w:r>
        <w:rPr>
          <w:sz w:val="20"/>
          <w:szCs w:val="20"/>
          <w:color w:val="auto"/>
        </w:rPr>
        <w:tab/>
      </w:r>
      <w:r>
        <w:rPr>
          <w:rFonts w:ascii="Times New Roman" w:cs="Times New Roman" w:eastAsia="Times New Roman" w:hAnsi="Times New Roman"/>
          <w:sz w:val="17"/>
          <w:szCs w:val="17"/>
          <w:color w:val="auto"/>
        </w:rPr>
        <w:t>By: /s/ Scott C. Wylie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17145</wp:posOffset>
            </wp:positionV>
            <wp:extent cx="30175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16"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Scott C. Wylie</w:t>
      </w:r>
    </w:p>
    <w:p>
      <w:pPr>
        <w:spacing w:after="0" w:line="198"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sectPr>
      <w:pgSz w:w="11900" w:h="16838" w:orient="portrait"/>
      <w:cols w:equalWidth="0" w:num="1">
        <w:col w:w="10280"/>
      </w:cols>
      <w:pgMar w:left="320" w:top="1103"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o"/>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2026-06-05T15:19:56Z</dcterms:created>
  <dcterms:modified xsi:type="dcterms:W3CDTF">2026-06-05T15:19:56Z</dcterms:modified>
</cp:coreProperties>
</file>