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20" w:after="120"/>
        <w:jc w:val="center"/>
        <w:rPr/>
      </w:pPr>
      <w:r>
        <w:rPr>
          <w:rFonts w:ascii="Wingdings;sans-serif" w:hAnsi="Wingdings;sans-serif"/>
          <w:b/>
          <w:color w:val="000000"/>
          <w:sz w:val="16"/>
        </w:rPr>
        <w:t>x</w:t>
      </w: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120" w:after="120"/>
        <w:jc w:val="center"/>
        <w:rPr/>
      </w:pPr>
      <w:r>
        <w:rPr>
          <w:rFonts w:ascii="Wingdings;sans-serif" w:hAnsi="Wingdings;sans-serif"/>
          <w:b/>
          <w:color w:val="000000"/>
          <w:sz w:val="16"/>
        </w:rPr>
        <w:t>o</w:t>
      </w: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 the transition period from ________ to ________</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Commission File Number 001-38595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Colorado</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37-1442266</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1900 16th Street, Suite 1200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Denver, CO</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80202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303.531.8100</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402"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24"/>
        <w:gridCol w:w="424"/>
        <w:gridCol w:w="426"/>
        <w:gridCol w:w="109"/>
        <w:gridCol w:w="109"/>
        <w:gridCol w:w="109"/>
        <w:gridCol w:w="970"/>
        <w:gridCol w:w="970"/>
        <w:gridCol w:w="137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MYFW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1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120" w:after="1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03" w:type="dxa"/>
        <w:jc w:val="left"/>
        <w:tblInd w:w="0" w:type="dxa"/>
        <w:tblLayout w:type="fixed"/>
        <w:tblCellMar>
          <w:top w:w="28" w:type="dxa"/>
          <w:left w:w="28" w:type="dxa"/>
          <w:bottom w:w="28" w:type="dxa"/>
          <w:right w:w="28" w:type="dxa"/>
        </w:tblCellMar>
      </w:tblPr>
      <w:tblGrid>
        <w:gridCol w:w="124"/>
        <w:gridCol w:w="109"/>
        <w:gridCol w:w="109"/>
        <w:gridCol w:w="654"/>
        <w:gridCol w:w="654"/>
        <w:gridCol w:w="656"/>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Large accelerated filer </w:t>
            </w: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Non-accelerated filer </w:t>
            </w: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1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120"/>
        <w:jc w:val="left"/>
        <w:rPr/>
      </w:pPr>
      <w:r>
        <w:rPr>
          <w:rFonts w:ascii="Times New Roman;serif" w:hAnsi="Times New Roman;serif"/>
          <w:b w:val="false"/>
          <w:color w:val="000000"/>
          <w:sz w:val="16"/>
        </w:rPr>
        <w:t xml:space="preserve">Indicate by check mark whether the registrant is a shell company (as defined in Rule 12b-2 of the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registrant’s classes of common stock, as of the latest practicable date.</w:t>
      </w:r>
    </w:p>
    <w:tbl>
      <w:tblPr>
        <w:tblW w:w="4643" w:type="dxa"/>
        <w:jc w:val="left"/>
        <w:tblInd w:w="0" w:type="dxa"/>
        <w:tblLayout w:type="fixed"/>
        <w:tblCellMar>
          <w:top w:w="28" w:type="dxa"/>
          <w:left w:w="28" w:type="dxa"/>
          <w:bottom w:w="28" w:type="dxa"/>
          <w:right w:w="28" w:type="dxa"/>
        </w:tblCellMar>
      </w:tblPr>
      <w:tblGrid>
        <w:gridCol w:w="124"/>
        <w:gridCol w:w="109"/>
        <w:gridCol w:w="109"/>
        <w:gridCol w:w="714"/>
        <w:gridCol w:w="714"/>
        <w:gridCol w:w="717"/>
        <w:gridCol w:w="594"/>
        <w:gridCol w:w="594"/>
        <w:gridCol w:w="5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Shares outstanding as of</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July 29,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9,765,129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12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43" w:type="dxa"/>
        <w:jc w:val="center"/>
        <w:tblInd w:w="0" w:type="dxa"/>
        <w:tblLayout w:type="fixed"/>
        <w:tblCellMar>
          <w:top w:w="28" w:type="dxa"/>
          <w:left w:w="28" w:type="dxa"/>
          <w:bottom w:w="28" w:type="dxa"/>
          <w:right w:w="28" w:type="dxa"/>
        </w:tblCellMar>
      </w:tblPr>
      <w:tblGrid>
        <w:gridCol w:w="593"/>
        <w:gridCol w:w="522"/>
        <w:gridCol w:w="522"/>
        <w:gridCol w:w="2447"/>
        <w:gridCol w:w="2447"/>
        <w:gridCol w:w="2471"/>
        <w:gridCol w:w="158"/>
        <w:gridCol w:w="158"/>
        <w:gridCol w:w="225"/>
      </w:tblGrid>
      <w:tr>
        <w:trPr/>
        <w:tc>
          <w:tcPr>
            <w:tcW w:w="59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9">
              <w:r>
                <w:rPr>
                  <w:rStyle w:val="InternetLink"/>
                  <w:rFonts w:ascii="Times New Roman;serif" w:hAnsi="Times New Roman;serif"/>
                  <w:b w:val="false"/>
                  <w:color w:val="0000FF"/>
                  <w:sz w:val="20"/>
                  <w:u w:val="single"/>
                </w:rPr>
                <w:t>PART I.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22">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22">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22">
              <w:r>
                <w:rPr>
                  <w:rStyle w:val="InternetLink"/>
                  <w:rFonts w:ascii="Times New Roman;serif" w:hAnsi="Times New Roman;serif"/>
                  <w:b w:val="false"/>
                  <w:strike w:val="false"/>
                  <w:dstrike w:val="false"/>
                  <w:color w:val="000000"/>
                  <w:sz w:val="20"/>
                  <w:u w:val="none"/>
                  <w:effect w:val="none"/>
                </w:rPr>
                <w:t>7</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25">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25">
              <w:r>
                <w:rPr>
                  <w:rStyle w:val="InternetLink"/>
                  <w:rFonts w:ascii="Times New Roman;serif" w:hAnsi="Times New Roman;serif"/>
                  <w:b w:val="false"/>
                  <w:strike w:val="false"/>
                  <w:dstrike w:val="false"/>
                  <w:color w:val="000000"/>
                  <w:sz w:val="20"/>
                  <w:u w:val="none"/>
                  <w:effect w:val="none"/>
                </w:rPr>
                <w:t>7</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28">
              <w:r>
                <w:rPr>
                  <w:rStyle w:val="InternetLink"/>
                  <w:rFonts w:ascii="Times New Roman;serif" w:hAnsi="Times New Roman;serif"/>
                  <w:b w:val="false"/>
                  <w:color w:val="0000FF"/>
                  <w:sz w:val="20"/>
                  <w:u w:val="single"/>
                </w:rPr>
                <w:t>Condensed Consolidated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28">
              <w:r>
                <w:rPr>
                  <w:rStyle w:val="InternetLink"/>
                  <w:rFonts w:ascii="Times New Roman;serif" w:hAnsi="Times New Roman;serif"/>
                  <w:b w:val="false"/>
                  <w:strike w:val="false"/>
                  <w:dstrike w:val="false"/>
                  <w:color w:val="000000"/>
                  <w:sz w:val="20"/>
                  <w:u w:val="none"/>
                  <w:effect w:val="none"/>
                </w:rPr>
                <w:t>8</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31">
              <w:r>
                <w:rPr>
                  <w:rStyle w:val="InternetLink"/>
                  <w:rFonts w:ascii="Times New Roman;serif" w:hAnsi="Times New Roman;serif"/>
                  <w:b w:val="false"/>
                  <w:color w:val="0000FF"/>
                  <w:sz w:val="20"/>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31">
              <w:r>
                <w:rPr>
                  <w:rStyle w:val="InternetLink"/>
                  <w:rFonts w:ascii="Times New Roman;serif" w:hAnsi="Times New Roman;serif"/>
                  <w:b w:val="false"/>
                  <w:strike w:val="false"/>
                  <w:dstrike w:val="false"/>
                  <w:color w:val="000000"/>
                  <w:sz w:val="20"/>
                  <w:u w:val="none"/>
                  <w:effect w:val="none"/>
                </w:rPr>
                <w:t>9</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34">
              <w:r>
                <w:rPr>
                  <w:rStyle w:val="InternetLink"/>
                  <w:rFonts w:ascii="Times New Roman;serif" w:hAnsi="Times New Roman;serif"/>
                  <w:b w:val="false"/>
                  <w:color w:val="0000FF"/>
                  <w:sz w:val="20"/>
                  <w:u w:val="single"/>
                </w:rPr>
                <w:t>Condensed Consolidated Statements of Changes in Shareholders’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34">
              <w:r>
                <w:rPr>
                  <w:rStyle w:val="InternetLink"/>
                  <w:rFonts w:ascii="Times New Roman;serif" w:hAnsi="Times New Roman;serif"/>
                  <w:b w:val="false"/>
                  <w:strike w:val="false"/>
                  <w:dstrike w:val="false"/>
                  <w:color w:val="000000"/>
                  <w:sz w:val="20"/>
                  <w:u w:val="none"/>
                  <w:effect w:val="none"/>
                </w:rPr>
                <w:t>10</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37">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37">
              <w:r>
                <w:rPr>
                  <w:rStyle w:val="InternetLink"/>
                  <w:rFonts w:ascii="Times New Roman;serif" w:hAnsi="Times New Roman;serif"/>
                  <w:b w:val="false"/>
                  <w:strike w:val="false"/>
                  <w:dstrike w:val="false"/>
                  <w:color w:val="000000"/>
                  <w:sz w:val="20"/>
                  <w:u w:val="none"/>
                  <w:effect w:val="none"/>
                </w:rPr>
                <w:t>11</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40">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40">
              <w:r>
                <w:rPr>
                  <w:rStyle w:val="InternetLink"/>
                  <w:rFonts w:ascii="Times New Roman;serif" w:hAnsi="Times New Roman;serif"/>
                  <w:b w:val="false"/>
                  <w:strike w:val="false"/>
                  <w:dstrike w:val="false"/>
                  <w:color w:val="000000"/>
                  <w:sz w:val="20"/>
                  <w:u w:val="none"/>
                  <w:effect w:val="none"/>
                </w:rPr>
                <w:t>13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9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94">
              <w:r>
                <w:rPr>
                  <w:rStyle w:val="InternetLink"/>
                  <w:rFonts w:ascii="Times New Roman;serif" w:hAnsi="Times New Roman;serif"/>
                  <w:b w:val="false"/>
                  <w:strike w:val="false"/>
                  <w:dstrike w:val="false"/>
                  <w:color w:val="000000"/>
                  <w:sz w:val="20"/>
                  <w:u w:val="none"/>
                  <w:effect w:val="none"/>
                </w:rPr>
                <w:t>53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15">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15">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15">
              <w:r>
                <w:rPr>
                  <w:rStyle w:val="InternetLink"/>
                  <w:rFonts w:ascii="Times New Roman;serif" w:hAnsi="Times New Roman;serif"/>
                  <w:b w:val="false"/>
                  <w:strike w:val="false"/>
                  <w:dstrike w:val="false"/>
                  <w:color w:val="000000"/>
                  <w:sz w:val="20"/>
                  <w:u w:val="none"/>
                  <w:effect w:val="none"/>
                </w:rPr>
                <w:t>80</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18">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18">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18">
              <w:r>
                <w:rPr>
                  <w:rStyle w:val="InternetLink"/>
                  <w:rFonts w:ascii="Times New Roman;serif" w:hAnsi="Times New Roman;serif"/>
                  <w:b w:val="false"/>
                  <w:strike w:val="false"/>
                  <w:dstrike w:val="false"/>
                  <w:color w:val="000000"/>
                  <w:sz w:val="20"/>
                  <w:u w:val="none"/>
                  <w:effect w:val="none"/>
                </w:rPr>
                <w:t>81</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21">
              <w:r>
                <w:rPr>
                  <w:rStyle w:val="InternetLink"/>
                  <w:rFonts w:ascii="Times New Roman;serif" w:hAnsi="Times New Roman;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21">
              <w:r>
                <w:rPr>
                  <w:rStyle w:val="InternetLink"/>
                  <w:rFonts w:ascii="Times New Roman;serif" w:hAnsi="Times New Roman;serif"/>
                  <w:b w:val="false"/>
                  <w:strike w:val="false"/>
                  <w:dstrike w:val="false"/>
                  <w:color w:val="000000"/>
                  <w:sz w:val="20"/>
                  <w:u w:val="none"/>
                  <w:effect w:val="none"/>
                </w:rPr>
                <w:t>82</w:t>
              </w:r>
            </w:hyperlink>
          </w:p>
        </w:tc>
      </w:tr>
      <w:tr>
        <w:trPr/>
        <w:tc>
          <w:tcPr>
            <w:tcW w:w="9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24">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24">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24">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27">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27">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27">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0">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0">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30">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15">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3">
              <w:r>
                <w:rPr>
                  <w:rStyle w:val="InternetLink"/>
                  <w:rFonts w:ascii="Times New Roman;serif" w:hAnsi="Times New Roman;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33">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6">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6">
              <w:r>
                <w:rPr>
                  <w:rStyle w:val="InternetLink"/>
                  <w:rFonts w:ascii="Times New Roman;serif" w:hAnsi="Times New Roman;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36">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9">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39">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39">
              <w:r>
                <w:rPr>
                  <w:rStyle w:val="InternetLink"/>
                  <w:rFonts w:ascii="Times New Roman;serif" w:hAnsi="Times New Roman;serif"/>
                  <w:b w:val="false"/>
                  <w:strike w:val="false"/>
                  <w:dstrike w:val="false"/>
                  <w:color w:val="000000"/>
                  <w:sz w:val="20"/>
                  <w:u w:val="none"/>
                  <w:effect w:val="none"/>
                </w:rPr>
                <w:t>82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42">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42">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42">
              <w:r>
                <w:rPr>
                  <w:rStyle w:val="InternetLink"/>
                  <w:rFonts w:ascii="Times New Roman;serif" w:hAnsi="Times New Roman;serif"/>
                  <w:b w:val="false"/>
                  <w:strike w:val="false"/>
                  <w:dstrike w:val="false"/>
                  <w:color w:val="000000"/>
                  <w:sz w:val="20"/>
                  <w:u w:val="none"/>
                  <w:effect w:val="none"/>
                </w:rPr>
                <w:t>83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30b4f9df3f7940208f94904ab113893c_145">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b4f9df3f7940208f94904ab113893c_145">
              <w:r>
                <w:rPr>
                  <w:rStyle w:val="InternetLink"/>
                  <w:rFonts w:ascii="Times New Roman;serif" w:hAnsi="Times New Roman;serif"/>
                  <w:b w:val="false"/>
                  <w:strike w:val="false"/>
                  <w:dstrike w:val="false"/>
                  <w:color w:val="000000"/>
                  <w:sz w:val="20"/>
                  <w:u w:val="none"/>
                  <w:effect w:val="none"/>
                </w:rPr>
                <w:t>84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ind w:left="0" w:right="0" w:firstLine="720"/>
        <w:jc w:val="center"/>
        <w:rPr>
          <w:rFonts w:ascii="Times New Roman;serif" w:hAnsi="Times New Roman;serif"/>
          <w:b/>
          <w:color w:val="000000"/>
          <w:sz w:val="20"/>
        </w:rPr>
      </w:pPr>
      <w:r>
        <w:rPr>
          <w:rFonts w:ascii="Times New Roman;serif" w:hAnsi="Times New Roman;serif"/>
          <w:b/>
          <w:color w:val="000000"/>
          <w:sz w:val="20"/>
        </w:rPr>
        <w:t>ABBREVIATIONS/ACRONYMS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abbreviations and acronyms identified in alphabetical order below are used throughout this Quarterly Report on Form 10-Q:</w:t>
      </w:r>
    </w:p>
    <w:tbl>
      <w:tblPr>
        <w:tblW w:w="10205" w:type="dxa"/>
        <w:jc w:val="center"/>
        <w:tblInd w:w="0" w:type="dxa"/>
        <w:tblLayout w:type="fixed"/>
        <w:tblCellMar>
          <w:top w:w="28" w:type="dxa"/>
          <w:left w:w="28" w:type="dxa"/>
          <w:bottom w:w="28" w:type="dxa"/>
          <w:right w:w="28" w:type="dxa"/>
        </w:tblCellMar>
      </w:tblPr>
      <w:tblGrid>
        <w:gridCol w:w="466"/>
        <w:gridCol w:w="406"/>
        <w:gridCol w:w="430"/>
        <w:gridCol w:w="938"/>
        <w:gridCol w:w="918"/>
        <w:gridCol w:w="913"/>
        <w:gridCol w:w="109"/>
        <w:gridCol w:w="109"/>
        <w:gridCol w:w="109"/>
        <w:gridCol w:w="208"/>
        <w:gridCol w:w="208"/>
        <w:gridCol w:w="215"/>
        <w:gridCol w:w="1527"/>
        <w:gridCol w:w="1509"/>
        <w:gridCol w:w="2140"/>
      </w:tblGrid>
      <w:tr>
        <w:trPr/>
        <w:tc>
          <w:tcPr>
            <w:tcW w:w="4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ACL</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FSC</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Sale Commitments</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AFS</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Generally Accepted Accounting Principles in the United States of America</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ASC</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Codification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GDP</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Domestic Product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HPI</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Housing Price Index</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AUM</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HTM</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First Western Trust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IRLC</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CECL</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ITC</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Tax Credit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CET1</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LIHTC</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Low-Income Housing Tax Credit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CODM</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Operating Decision Maker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MBS</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Company, FWFI</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First Western Financial,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OCI</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OREO</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DCF</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PPP</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Paycheck Protection Program</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SBA</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 Business Administration</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FDIC</w:t>
            </w:r>
          </w:p>
        </w:tc>
        <w:tc>
          <w:tcPr>
            <w:tcW w:w="2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Deposit Insurance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5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w:t>
            </w:r>
          </w:p>
        </w:tc>
        <w:tc>
          <w:tcPr>
            <w:tcW w:w="2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5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Overnight Financial Rate</w:t>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17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Important Notice about Information in this Quarterly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Unless we state otherwise or the context otherwise requires, references in this Quarterly Report to "we," "our," "us," "the Company" and "First Western" refer to First Western Financial, Inc. and its consolidated subsidiaries, including First Western Trust Bank, which we sometimes refer to as "the Bank" or "our Bank.”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Quarterly Report is accurate only as of the date of this Quarterly Report on Form 10-Q and as of the dates specified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ind w:left="0" w:right="0" w:firstLine="7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particularly with regard to developments related to soundness of other financial institutions.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There are or will be important factors that could cause our actual results to differ materially from those indicated in these forward-looking statements, including, but not limited to,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geographic concentration in Colorado, Arizona, Wyoming, Montana, and California;</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changes in the economy affecting real estate values and liquidity;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risks associated with higher inflation;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changes in interest rates;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weak economic conditions and global trade, including the imposition of tariffs;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continue to originate residential real estate loans and sell such loans;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risks related to non-performing assets, borrowers' solvency and ability to repay and the value of loan collateral;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claims and litigation pertaining to our fiduciary responsibilities;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competition for investment managers and professionals and our ability to retain our associates;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fluctuation in the value of our investment securities;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terminable nature of our investment management contracts;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changes to the level or type of investment activity by our clients;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investment performance, in either relative or absolute terms;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legislative changes or the adoption of tax reform policies;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external business disruptors in the financial services industry;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adequacy of our allowance for credit losses;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liquidity risks;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maintain a strong core deposit base or other low-cost funding sources;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continued positive interaction with and financial health of our referral sources;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attracting and retaining clients, including our largest trust clients;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competition from other banks, financial institutions, and wealth and investment management firms;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acquisition of other banks and financial services companies and integration risks and other unknown risks associated with acquisitions;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protect against and manage fraudulent activity, breaches of our information security, and cybersecurity attacks;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reliance on communications, information, operating and financial control systems technology and related services from third-party service providers;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technological change, including the use of artificial intelligence as a commonly used resource and its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unforeseen or catastrophic events, including public health crises, wars, terrorist attacks, extreme weather events or other natural disasters;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legal and regulatory proceedings, investigations and inquiries, fines and sanctions;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limited trading volume and liquidity in the market for our common stock;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fluctuations in the market price of our common stock;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actual or anticipated issuances or sales of our common stock or preferred stock in the future;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potential impairment of goodwill recorded on our balance sheet and possible requirements to recognize significant charges to earnings due to impairment of intangible assets;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manage our existing and future indebtedness;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available cash flows from the Bank;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other factors that are discussed in "Item 1A - Risk Factors" in our Annual Report on Form 10-K.</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the section titled Risk Factors in Part I, Item 1A of our Annual Report on Form 10-K, filed with the SEC on February 27, 2026.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20"/>
        <w:ind w:left="0" w:right="0" w:firstLine="72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871"/>
        <w:gridCol w:w="2289"/>
        <w:gridCol w:w="2320"/>
        <w:gridCol w:w="196"/>
        <w:gridCol w:w="871"/>
        <w:gridCol w:w="109"/>
        <w:gridCol w:w="109"/>
        <w:gridCol w:w="109"/>
        <w:gridCol w:w="109"/>
        <w:gridCol w:w="196"/>
        <w:gridCol w:w="871"/>
        <w:gridCol w:w="155"/>
      </w:tblGrid>
      <w:tr>
        <w:trPr/>
        <w:tc>
          <w:tcPr>
            <w:tcW w:w="287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financial institutions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200,281 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Available-for-sale debt securities, at fair value (amortized cost of $89,745 and $45,623,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Held-to-maturity debt securities, net of allowance for credit losses of $151 and $74 (fair value of $112,617 and $90,635),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Correspondent bank stock, at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Loans (includes $1,758 and $3,182 measured at fair value,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2,650,423 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2,691,506 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2,628,982 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Company-owned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3,238,006 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3,154,981 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2,401,606 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2,845,964 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2,746,575 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Federal Home Loan Bank and Federal Reserve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2,957,413 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2,889,421 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 no par value; 10,000,000 shares authorized; 0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 no par value; 90,000,000 shares authorized; 9,765,129 and 9,725,731 shares issued and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265,560 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3,238,006 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3,154,981 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18"/>
        </w:rPr>
      </w:pPr>
      <w:r>
        <w:rPr>
          <w:rFonts w:ascii="Times New Roman;serif" w:hAnsi="Times New Roman;serif"/>
          <w:b/>
          <w:color w:val="000000"/>
          <w:sz w:val="18"/>
        </w:rPr>
        <w:t>FIRST WESTERN FINANCIAL, INC.</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CONDENSED CONSOLIDATED STATEMENTS OF INCOME (UNAUDITED)</w:t>
      </w:r>
    </w:p>
    <w:p>
      <w:pPr>
        <w:pStyle w:val="TextBody"/>
        <w:bidi w:val="0"/>
        <w:spacing w:lineRule="auto" w:line="288" w:before="0" w:after="120"/>
        <w:ind w:left="0" w:right="0" w:firstLine="72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9586" w:type="dxa"/>
        <w:jc w:val="left"/>
        <w:tblInd w:w="0" w:type="dxa"/>
        <w:tblLayout w:type="fixed"/>
        <w:tblCellMar>
          <w:top w:w="28" w:type="dxa"/>
          <w:left w:w="28" w:type="dxa"/>
          <w:bottom w:w="28" w:type="dxa"/>
          <w:right w:w="28" w:type="dxa"/>
        </w:tblCellMar>
      </w:tblPr>
      <w:tblGrid>
        <w:gridCol w:w="1708"/>
        <w:gridCol w:w="1502"/>
        <w:gridCol w:w="1515"/>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including fees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accounted for under the fair value option</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financial institutions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restricted stock</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borrowed funds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(Release of) provision for credit losses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(release of) provision for credit losses</w:t>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investment management fees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mortgage loans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loans held for sale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 fees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 management and insurance fees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on company-owned life insurance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loans accounted for under the fair value option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other real estate owned</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recognized on equity securities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information systems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21,217 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120"/>
        <w:ind w:left="0" w:right="0" w:firstLine="7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56"/>
        <w:gridCol w:w="1738"/>
        <w:gridCol w:w="1756"/>
        <w:gridCol w:w="204"/>
        <w:gridCol w:w="581"/>
        <w:gridCol w:w="113"/>
        <w:gridCol w:w="113"/>
        <w:gridCol w:w="113"/>
        <w:gridCol w:w="113"/>
        <w:gridCol w:w="204"/>
        <w:gridCol w:w="581"/>
        <w:gridCol w:w="113"/>
        <w:gridCol w:w="109"/>
        <w:gridCol w:w="109"/>
        <w:gridCol w:w="109"/>
        <w:gridCol w:w="196"/>
        <w:gridCol w:w="646"/>
        <w:gridCol w:w="109"/>
        <w:gridCol w:w="109"/>
        <w:gridCol w:w="109"/>
        <w:gridCol w:w="109"/>
        <w:gridCol w:w="196"/>
        <w:gridCol w:w="556"/>
        <w:gridCol w:w="163"/>
      </w:tblGrid>
      <w:tr>
        <w:trPr/>
        <w:tc>
          <w:tcPr>
            <w:tcW w:w="205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items:</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debt securities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net unrealized loss for the reclassification of available-for-sale debt securities transferred to held-to-maturity included in interest income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cash flow hedge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16"/>
        </w:rPr>
      </w:pPr>
      <w:r>
        <w:rPr>
          <w:rFonts w:ascii="Times New Roman;serif" w:hAnsi="Times New Roman;serif"/>
          <w:b/>
          <w:color w:val="000000"/>
          <w:sz w:val="16"/>
        </w:rPr>
        <w:t>FIRST WESTERN FINANCIAL, INC.</w:t>
      </w:r>
    </w:p>
    <w:p>
      <w:pPr>
        <w:pStyle w:val="TextBody"/>
        <w:bidi w:val="0"/>
        <w:spacing w:lineRule="auto" w:line="288"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CONDENSED CONSOLIDATED STATEMENTS OF CHANGES IN SHAREHOLDERS’ EQUITY (UNAUDITED)</w:t>
      </w:r>
    </w:p>
    <w:p>
      <w:pPr>
        <w:pStyle w:val="TextBody"/>
        <w:bidi w:val="0"/>
        <w:spacing w:lineRule="auto" w:line="288" w:before="0" w:after="120"/>
        <w:ind w:left="0" w:right="0" w:firstLine="720"/>
        <w:jc w:val="center"/>
        <w:rPr>
          <w:rFonts w:ascii="Times New Roman;serif" w:hAnsi="Times New Roman;serif"/>
          <w:b/>
          <w:color w:val="000000"/>
          <w:sz w:val="16"/>
        </w:rPr>
      </w:pPr>
      <w:r>
        <w:rPr>
          <w:rFonts w:ascii="Times New Roman;serif" w:hAnsi="Times New Roman;serif"/>
          <w:b/>
          <w:color w:val="000000"/>
          <w:sz w:val="16"/>
        </w:rPr>
        <w:t>(in thousands, except share amounts)</w:t>
      </w:r>
    </w:p>
    <w:tbl>
      <w:tblPr>
        <w:tblW w:w="10205" w:type="dxa"/>
        <w:jc w:val="left"/>
        <w:tblInd w:w="0" w:type="dxa"/>
        <w:tblLayout w:type="fixed"/>
        <w:tblCellMar>
          <w:top w:w="28" w:type="dxa"/>
          <w:left w:w="28" w:type="dxa"/>
          <w:bottom w:w="28" w:type="dxa"/>
          <w:right w:w="28" w:type="dxa"/>
        </w:tblCellMar>
      </w:tblPr>
      <w:tblGrid>
        <w:gridCol w:w="1344"/>
        <w:gridCol w:w="1058"/>
        <w:gridCol w:w="1062"/>
        <w:gridCol w:w="435"/>
        <w:gridCol w:w="436"/>
        <w:gridCol w:w="266"/>
        <w:gridCol w:w="109"/>
        <w:gridCol w:w="109"/>
        <w:gridCol w:w="109"/>
        <w:gridCol w:w="196"/>
        <w:gridCol w:w="736"/>
        <w:gridCol w:w="109"/>
        <w:gridCol w:w="109"/>
        <w:gridCol w:w="109"/>
        <w:gridCol w:w="109"/>
        <w:gridCol w:w="196"/>
        <w:gridCol w:w="646"/>
        <w:gridCol w:w="109"/>
        <w:gridCol w:w="109"/>
        <w:gridCol w:w="109"/>
        <w:gridCol w:w="109"/>
        <w:gridCol w:w="272"/>
        <w:gridCol w:w="792"/>
        <w:gridCol w:w="152"/>
        <w:gridCol w:w="109"/>
        <w:gridCol w:w="109"/>
        <w:gridCol w:w="109"/>
        <w:gridCol w:w="196"/>
        <w:gridCol w:w="736"/>
        <w:gridCol w:w="156"/>
      </w:tblGrid>
      <w:tr>
        <w:trPr/>
        <w:tc>
          <w:tcPr>
            <w:tcW w:w="134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9,704,320 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256,555 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 and reclassification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share awards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39,889 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9,717,922 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258,847 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1,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9,728,968 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 and reclassification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share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9,765,129 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280,593 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9,667,142 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 and reclassification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(26,387)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share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77,167 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9,717,922 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258,847 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9,725,731 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 and reclassification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of share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9,765,129 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280,593 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(in thousands)</w:t>
      </w:r>
    </w:p>
    <w:tbl>
      <w:tblPr>
        <w:tblW w:w="8168" w:type="dxa"/>
        <w:jc w:val="left"/>
        <w:tblInd w:w="0" w:type="dxa"/>
        <w:tblLayout w:type="fixed"/>
        <w:tblCellMar>
          <w:top w:w="28" w:type="dxa"/>
          <w:left w:w="28" w:type="dxa"/>
          <w:bottom w:w="28" w:type="dxa"/>
          <w:right w:w="28" w:type="dxa"/>
        </w:tblCellMar>
      </w:tblPr>
      <w:tblGrid>
        <w:gridCol w:w="2069"/>
        <w:gridCol w:w="1819"/>
        <w:gridCol w:w="1826"/>
        <w:gridCol w:w="196"/>
        <w:gridCol w:w="736"/>
        <w:gridCol w:w="109"/>
        <w:gridCol w:w="109"/>
        <w:gridCol w:w="109"/>
        <w:gridCol w:w="109"/>
        <w:gridCol w:w="196"/>
        <w:gridCol w:w="73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 of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dividends received on correspondent bank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of mortgage 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 of purchase accounting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solar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(gain) on other real estate owned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recognized on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(gain) on loans accounted for under the fair value option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interest receivable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interest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Activity in available-for-sale debt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prepayments, and calls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Activity in held-to-maturity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prepayments, and calls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correspondent bank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correspondent bank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to low-income housing tax credit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 and note receivable originations and principal collections,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premises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other real estate owned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(114,836)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Federal Home Loan Bank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Federal Home Loan Bank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Federal Reserve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subordinated note 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withholding taxes on share-based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232,314 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(in thousands)</w:t>
      </w:r>
    </w:p>
    <w:tbl>
      <w:tblPr>
        <w:tblW w:w="6849" w:type="dxa"/>
        <w:jc w:val="center"/>
        <w:tblInd w:w="0" w:type="dxa"/>
        <w:tblLayout w:type="fixed"/>
        <w:tblCellMar>
          <w:top w:w="28" w:type="dxa"/>
          <w:left w:w="28" w:type="dxa"/>
          <w:bottom w:w="28" w:type="dxa"/>
          <w:right w:w="28" w:type="dxa"/>
        </w:tblCellMar>
      </w:tblPr>
      <w:tblGrid>
        <w:gridCol w:w="1656"/>
        <w:gridCol w:w="1455"/>
        <w:gridCol w:w="1464"/>
        <w:gridCol w:w="196"/>
        <w:gridCol w:w="646"/>
        <w:gridCol w:w="109"/>
        <w:gridCol w:w="109"/>
        <w:gridCol w:w="109"/>
        <w:gridCol w:w="109"/>
        <w:gridCol w:w="196"/>
        <w:gridCol w:w="646"/>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on deposits and borrowed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noncash disclosures: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to loans held for investment from loans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Lease right-of-use-asset obtained in exchange for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FIRST WESTERN FINANCIAL, INC.</w:t>
      </w:r>
    </w:p>
    <w:p>
      <w:pPr>
        <w:pStyle w:val="TextBody"/>
        <w:bidi w:val="0"/>
        <w:spacing w:lineRule="auto" w:line="288" w:before="0" w:after="12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 – ORGANIZATION AND SUMMARY OF SIGNIFICANT ACCOUNTING POLICIES</w:t>
      </w:r>
    </w:p>
    <w:p>
      <w:pPr>
        <w:pStyle w:val="TextBody"/>
        <w:bidi w:val="0"/>
        <w:spacing w:lineRule="auto" w:line="288" w:before="0" w:after="120"/>
        <w:jc w:val="both"/>
        <w:rPr/>
      </w:pPr>
      <w:r>
        <w:rPr>
          <w:rFonts w:ascii="Times New Roman;serif" w:hAnsi="Times New Roman;serif"/>
          <w:b w:val="false"/>
          <w:color w:val="000000"/>
          <w:sz w:val="20"/>
          <w:u w:val="single"/>
        </w:rPr>
        <w:t>Business and Basis of Presentation</w:t>
      </w:r>
      <w:r>
        <w:rPr>
          <w:rFonts w:ascii="Times New Roman;serif" w:hAnsi="Times New Roman;serif"/>
          <w:b w:val="false"/>
          <w:color w:val="000000"/>
          <w:sz w:val="20"/>
        </w:rPr>
        <w:t>: The condensed consolidated financial statements include the accounts of First Western Financial, Inc. (FWFI), incorporated in Colorado on July 18, 2002, and its direct and indirect wholly-owned subsidiaries listed below (collectively referred to as the "Company," "we," "us," or "our").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FWFI is a bank holding company with financial holding company status registered with the Board of Governors of the Federal Reserve System. FWFI wholly owns the following subsidiary: First Western Trust Bank (the Bank). The Bank wholly owns First Western Merger Corporation (Merger Corp.), which is therefore indirectly wholly owned by FWFI.</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provides a fully-integrated suite of wealth management services including private banking, personal trust, investment management, mortgage loans, and institutional asset management services to individual and corporate clients principally in Colorado (metro Denver, Aspen, Boulder, Fort Collins, Loveland, and Vail Valley), Arizona (Phoenix and Scottsdale), California (Century City), Montana (Bozeman), and Wyoming (Jackson, Pinedale, Rock Springs and Cheyenne). The Company’s revenues are generated from its full range of product offerings as noted above, but principally from net interest income (the interest income earned on the Bank’s assets net of funding costs), fee-based wealth advisory, investment management, asset management and personal trust services, and net gains earned on mortgage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accounting principles generally accepted in the United States of America (GAAP) for interim financial information and pursuant to the rules and regulations of the SEC. Accordingly, they do not include all the information and footnotes required by GAAP for complete financial statements. The December 31, 2025 Condensed Consolidated Balance Sheet has been derived from the audited financial statements for the year ended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that were recurring in nature and considered necessary for the fair presentation of the Company’s financial position and results of operations have been included. Operating results for the three and six months ended June 30, 2026 are not necessarily indicative of results that may be expected for the full year ending December 31, 2026. In preparing the condensed consolidated financial statements, the Company is required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be significantly different from those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notes should be read in conjunction with the Company’s Annual Report on Form 10-K for the year ended December 31, 2025 as filed with the SEC.</w:t>
      </w:r>
    </w:p>
    <w:p>
      <w:pPr>
        <w:pStyle w:val="TextBody"/>
        <w:bidi w:val="0"/>
        <w:spacing w:lineRule="auto" w:line="288" w:before="0" w:after="120"/>
        <w:jc w:val="both"/>
        <w:rPr/>
      </w:pPr>
      <w:r>
        <w:rPr>
          <w:rFonts w:ascii="Times New Roman;serif" w:hAnsi="Times New Roman;serif"/>
          <w:b w:val="false"/>
          <w:color w:val="000000"/>
          <w:sz w:val="20"/>
          <w:u w:val="single"/>
        </w:rPr>
        <w:t>Consolidation</w:t>
      </w:r>
      <w:r>
        <w:rPr>
          <w:rFonts w:ascii="Times New Roman;serif" w:hAnsi="Times New Roman;serif"/>
          <w:b w:val="false"/>
          <w:color w:val="000000"/>
          <w:sz w:val="20"/>
        </w:rPr>
        <w:t>: The Company’s policy is to consolidate all majority-owned subsidiaries in which it has a controlling financial interest and variable-interest entities where the Company is deemed to be the primary beneficiary. All material intercompany accounts and transactions have been eliminated in consolidation.</w:t>
      </w:r>
    </w:p>
    <w:p>
      <w:pPr>
        <w:pStyle w:val="TextBody"/>
        <w:bidi w:val="0"/>
        <w:spacing w:lineRule="auto" w:line="288" w:before="0" w:after="120"/>
        <w:jc w:val="both"/>
        <w:rPr/>
      </w:pPr>
      <w:r>
        <w:rPr>
          <w:rFonts w:ascii="Times New Roman;serif" w:hAnsi="Times New Roman;serif"/>
          <w:b w:val="false"/>
          <w:color w:val="000000"/>
          <w:sz w:val="20"/>
          <w:u w:val="single"/>
        </w:rPr>
        <w:t>Business Combinations and Divestitures</w:t>
      </w:r>
      <w:r>
        <w:rPr>
          <w:rFonts w:ascii="Times New Roman;serif" w:hAnsi="Times New Roman;serif"/>
          <w:b w:val="false"/>
          <w:color w:val="000000"/>
          <w:sz w:val="20"/>
        </w:rPr>
        <w:t xml:space="preserve">: Business combinations are accounted for under the acquisition method of accounting. Under the acquisition method of accounting, the total consideration transferred in connection with the acquisition is allocated to the tangible and intangible assets acquired, liabilities assumed, and any non-controlling interest in the acquired entity based on fair values. Goodwill acquired in connection with business combinations represents the excess of consideration transferred over the net tangible and identifiable intangible assets acquired. Certain assumptions and estimates are used in evaluating the fair value of assets acquired and liabilities assumed. These estimates may be affected by factors such as changing market conditions or changes in government regulations. </w:t>
      </w:r>
    </w:p>
    <w:p>
      <w:pPr>
        <w:pStyle w:val="TextBody"/>
        <w:bidi w:val="0"/>
        <w:spacing w:lineRule="auto" w:line="288" w:before="0" w:after="120"/>
        <w:jc w:val="both"/>
        <w:rPr/>
      </w:pPr>
      <w:r>
        <w:rPr>
          <w:rFonts w:ascii="Times New Roman;serif" w:hAnsi="Times New Roman;serif"/>
          <w:b w:val="false"/>
          <w:color w:val="000000"/>
          <w:sz w:val="20"/>
          <w:u w:val="single"/>
        </w:rPr>
        <w:t>Use of Estimates</w:t>
      </w:r>
      <w:r>
        <w:rPr>
          <w:rFonts w:ascii="Times New Roman;serif" w:hAnsi="Times New Roman;serif"/>
          <w:b w:val="false"/>
          <w:color w:val="000000"/>
          <w:sz w:val="20"/>
        </w:rPr>
        <w:t>: To prepare financial statements in conformity with GAAP, management makes estimates and assumptions based on available information. These estimates and assumptions affect the amounts reported in the condensed consolidated financial statements and the disclosures provided, and actual results could differ. Information available which could affect these judgments include, but are not limited to, changes in interest rates, changes in the performance of the economy, and changes in the financial condition of borrowers. Material estimates that are particularly susceptible to significant change include: the determination of the allowance for credit losses, the evaluation of goodwill impairment, and the fair value of certain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u w:val="single"/>
        </w:rPr>
        <w:t>Concentration of Credit Risk</w:t>
      </w:r>
      <w:r>
        <w:rPr>
          <w:rFonts w:ascii="Times New Roman;serif" w:hAnsi="Times New Roman;serif"/>
          <w:b w:val="false"/>
          <w:color w:val="000000"/>
          <w:sz w:val="20"/>
        </w:rPr>
        <w:t>: Most of the Company’s lending activity is to clients located in and around metro Denver, Aspen, Fort Collins, Loveland, Boulder, and Vail, Colorado; Phoenix and Scottsdale, Arizona; Bozeman, Montana; and Jackson, Cheyenne, Pinedale, and Rock Springs, Wyoming. The Company does not believe it has significant concentrations in any one industry or customer. As of June 30, 2026 and December 31, 2025, 83.4% and 84.2%, respectively, of the Company’s loan portfolio was secured by real estate collateral. Declines in real estate values in the primary markets the Company operates in could negatively impact the Company.</w:t>
      </w:r>
    </w:p>
    <w:p>
      <w:pPr>
        <w:pStyle w:val="TextBody"/>
        <w:bidi w:val="0"/>
        <w:spacing w:lineRule="auto" w:line="288" w:before="0" w:after="120"/>
        <w:jc w:val="both"/>
        <w:rPr/>
      </w:pPr>
      <w:r>
        <w:rPr>
          <w:rFonts w:ascii="Times New Roman;serif" w:hAnsi="Times New Roman;serif"/>
          <w:b w:val="false"/>
          <w:color w:val="000000"/>
          <w:sz w:val="20"/>
          <w:u w:val="single"/>
        </w:rPr>
        <w:t>Allowance for Credit Losses (ACL) - loans:</w:t>
      </w:r>
      <w:r>
        <w:rPr>
          <w:color w:val="000000"/>
        </w:rPr>
        <w:t xml:space="preserve"> </w:t>
      </w:r>
      <w:r>
        <w:rPr>
          <w:rFonts w:ascii="Times New Roman;serif" w:hAnsi="Times New Roman;serif"/>
          <w:b w:val="false"/>
          <w:color w:val="000000"/>
          <w:sz w:val="20"/>
        </w:rPr>
        <w:t>The ACL is a valuation account that is deducted from the loans’ amortized cost basis to present the net amount expected to be collected on the loans. The ACL excludes loans held for sale and loans accounted for under the fair value option. The Company elected to not measure an ACL for accrued interest receivables, as we write off applicable accrued interest receivable balances in a timely manner when a loan is placed on non-accrual status, in which any accrued but uncollected interest is reversed from current income. Loans are charged off against the allowance when management believes the uncollectibility of a loan balance is confirmed. Expected recoveries do not exceed the aggregate of amounts previously charged-off and expected to be charged-off. Management estimates the allowance balance using relevant available information, from internal and external sources, related to past events, current conditions, and reasonable and supportable forecasts. Actual Company and regional peer historical credit loss experience provides the basis for the estimation of expected credit losses. The Company identified and grouped portfolio segments based on risk characteristics and underlying collateral. The call code for each financial asset type was assessed and expanded for certain call codes into separate segments based on risk characteristics.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ACL for pooled loans are estimated using a discounted cash flow (DCF) methodology using the amortized cost basis (excluding interest) for all loans modeled within a performing pool of loans. The DCF analysis pairs loan-level term information, for example, maturity date, payment amount, interest rate, with top-down pool assumptions such as default rates, prepayment speeds, to produce individual expected cash flows for every loan in the segment. The results are then aggregated to produce segment level results and reserve requirements for each segment based on similar risk characteristics.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quantitative DCF model also incorporates forward-looking macroeconomic information over a reasonable and supportable period of four quarters. Subsequent to the four quarter period, the Company reverts to its historical loss rate and historical prepayment and curtailment speeds on a straight-line basis over a four quarter reversion period. Expected credit losses are estimated over the contractual term of the loans, adjusted for expected prepayments when appropriate. The contractual term excludes expected extensions, renewals, and modifications. Annually the Company performs a rate study which updates the prepayment and curtailment rates used in the DCF model.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Loans that do not share risk characteristics are analyzed on an individual basis. Loans analyzed individually are not included in the pooled loan evaluation. When management determines that foreclosure is probable, expected credit losses are based on the fair value of the collateral at the reporting date, adjusted for selling costs as appropriate.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Qualitative adjustments to historical loss data are made based on management’s assessment of the risks that may lead to a future credit loss or differences in current loan-specific risk characteristics such as differences in underwriting standards, portfolio mix, changes in environmental and economic conditions, or other relevant factors.</w:t>
      </w:r>
    </w:p>
    <w:p>
      <w:pPr>
        <w:pStyle w:val="TextBody"/>
        <w:bidi w:val="0"/>
        <w:spacing w:lineRule="auto" w:line="288" w:before="0" w:after="120"/>
        <w:jc w:val="both"/>
        <w:rPr/>
      </w:pPr>
      <w:r>
        <w:rPr>
          <w:rFonts w:ascii="Times New Roman;serif" w:hAnsi="Times New Roman;serif"/>
          <w:b w:val="false"/>
          <w:color w:val="000000"/>
          <w:sz w:val="20"/>
          <w:u w:val="single"/>
        </w:rPr>
        <w:t>ACL - Off-balance sheet credit exposures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and is recorded in Other liabilities. The estimate includes consideration of the likelihood that funding will occur and an estimate of expected credit losses on commitments expected to be funded over its estimated life. The probability of funding is based on historical utilization statistics for unfunded loan commitments. The loss rates used are calculated using the same assumptions as the associated funded balance.</w:t>
      </w:r>
    </w:p>
    <w:p>
      <w:pPr>
        <w:pStyle w:val="TextBody"/>
        <w:bidi w:val="0"/>
        <w:spacing w:lineRule="auto" w:line="288" w:before="0" w:after="120"/>
        <w:jc w:val="both"/>
        <w:rPr/>
      </w:pPr>
      <w:r>
        <w:rPr>
          <w:rFonts w:ascii="Times New Roman;serif" w:hAnsi="Times New Roman;serif"/>
          <w:b w:val="false"/>
          <w:color w:val="000000"/>
          <w:sz w:val="20"/>
          <w:u w:val="single"/>
        </w:rPr>
        <w:t>ACL - Available-for-sale (AFS) debt securities:</w:t>
      </w:r>
      <w:r>
        <w:rPr>
          <w:color w:val="000000"/>
        </w:rPr>
        <w:t xml:space="preserve"> </w:t>
      </w:r>
      <w:r>
        <w:rPr>
          <w:rFonts w:ascii="Times New Roman;serif" w:hAnsi="Times New Roman;serif"/>
          <w:b w:val="false"/>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For the AFS securities that do not meet the aforementioned criteria, the Company evaluates whether the decline in fair value has resulted from credit losses or other factors. In such assessment, the Company considers the extent to which fair value is less than amortized cost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exclude accrued interest from the estimate of credit losses for AFS debt securities. As part of its non-accrual policy, the Company charges-off uncollectable interest at the time it is determined to be uncollectable.</w:t>
      </w:r>
    </w:p>
    <w:p>
      <w:pPr>
        <w:pStyle w:val="TextBody"/>
        <w:bidi w:val="0"/>
        <w:spacing w:lineRule="auto" w:line="288" w:before="0" w:after="120"/>
        <w:jc w:val="both"/>
        <w:rPr/>
      </w:pPr>
      <w:r>
        <w:rPr>
          <w:rFonts w:ascii="Times New Roman;serif" w:hAnsi="Times New Roman;serif"/>
          <w:b w:val="false"/>
          <w:color w:val="000000"/>
          <w:sz w:val="20"/>
          <w:u w:val="single"/>
        </w:rPr>
        <w:t>ACL - Held-to-maturity (HTM) debt securities</w:t>
      </w:r>
      <w:r>
        <w:rPr>
          <w:rFonts w:ascii="Times New Roman;serif" w:hAnsi="Times New Roman;serif"/>
          <w:b w:val="false"/>
          <w:color w:val="000000"/>
          <w:sz w:val="20"/>
        </w:rPr>
        <w:t>: The majority of our HTM investment portfolio consists of securities issued by U.S. government entities or agencies. These securities are either explicitly or implicitly guaranteed by the U.S. government, are highly rated by major rating agencies, and have a long history of no credit losses. With respect to these securities, we consider the risk of credit loss to be zero and, therefore, we have elected the practical expedient to not record an ACL for these securities. The Company's non-government backed securities include private label mortgage-backed securities (MBS), corporate bonds, and municipal bonds. Private label refers to private institutions such as brokerage firms, banks, and home builders, that also securitize mortgages.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measures expected credit losses on HTM debt securities on a collective basis by major security type. Accrued interest receivable on HTM debt securities is excluded from the estimate of credit losses. The estimate of expected credit losses considers historical credit loss information that is adjusted for current conditions and reasonable and supportable forecasts. Management reviewed the collectability of municipal bonds, private label MBS, and corporate bonds taking into consideration factors such as the asset quality, delinquencies of the issuers, credit ratings, and available financial data.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exclude accrued interest from the estimate of credit losses for HTM debt securities. As part of its non-accrual policy, the Company charges-off uncollectable interest at the time it is determined to be uncollectable.</w:t>
      </w:r>
    </w:p>
    <w:p>
      <w:pPr>
        <w:pStyle w:val="TextBody"/>
        <w:bidi w:val="0"/>
        <w:spacing w:lineRule="auto" w:line="288" w:before="0" w:after="120"/>
        <w:jc w:val="both"/>
        <w:rPr/>
      </w:pPr>
      <w:r>
        <w:rPr>
          <w:rFonts w:ascii="Times New Roman;serif" w:hAnsi="Times New Roman;serif"/>
          <w:b w:val="false"/>
          <w:color w:val="000000"/>
          <w:sz w:val="20"/>
          <w:u w:val="single"/>
        </w:rPr>
        <w:t>Modifications</w:t>
      </w:r>
      <w:r>
        <w:rPr>
          <w:rFonts w:ascii="Times New Roman;serif" w:hAnsi="Times New Roman;serif"/>
          <w:b w:val="false"/>
          <w:color w:val="000000"/>
          <w:sz w:val="20"/>
        </w:rPr>
        <w:t>: The Company identifies modifications to borrowers experiencing financial difficulty as a loan that has been modified for the borrower that is experiencing financial difficulties. The Company considers some of the indicators that a borrower is experiencing financial difficulty to be: currently in payment default on any of their debt, declaring bankruptcy, going concern, and other indicators of inability to meet obligations. This list does not include all potential indicators of a borrower’s financial difficulties. The ACL on loans that are considered modifications to borrowers experiencing financial difficulty are measured using the same method as all other loans held for investment.</w:t>
      </w:r>
    </w:p>
    <w:p>
      <w:pPr>
        <w:pStyle w:val="TextBody"/>
        <w:bidi w:val="0"/>
        <w:spacing w:lineRule="auto" w:line="288" w:before="0" w:after="120"/>
        <w:jc w:val="both"/>
        <w:rPr/>
      </w:pPr>
      <w:r>
        <w:rPr>
          <w:rFonts w:ascii="Times New Roman;serif" w:hAnsi="Times New Roman;serif"/>
          <w:b w:val="false"/>
          <w:color w:val="000000"/>
          <w:sz w:val="20"/>
          <w:u w:val="single"/>
        </w:rPr>
        <w:t>Derivatives</w:t>
      </w:r>
      <w:r>
        <w:rPr>
          <w:rFonts w:ascii="Times New Roman;serif" w:hAnsi="Times New Roman;serif"/>
          <w:b w:val="false"/>
          <w:color w:val="000000"/>
          <w:sz w:val="20"/>
        </w:rPr>
        <w:t>: The Company is exposed to certain risks relating to its ongoing operations. The primary risk managed by using derivative instruments is interest rate risk. Cash flow hedges have been entered into to manage interest rate risk associated with variable rate deposits and borrowings. Fair value hedges have been entered into to manage interest rate risk associated with fixed rate loans. The Company does not enter into derivative instruments for trading or speculative purposes.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are recognized as Other assets or Other liabilities in the accompanying Condensed Consolidated Balance Sheets and are measured at fair value. At the inception of a derivative contract, the Company designates the derivative as one of three types based on the Company’s intentions and belief as to likely effectiveness of a hedge. These three types are as follows: </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Fair Value Hedge: a hedge of the fair value of a recognized asset or liability or an unrecognized firm commitment. For a fair value hedge, the gain or loss on the derivative, as well as the offsetting loss or gain on the hedged item attributable to the hedged risk, are recognized in current earnings as fair values change.</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 xml:space="preserve">Cash Flow Hedge: a hedge of a forecasted transaction or the variability of cash flows to be received or paid related to a recognized asset or liability. For a cash flow hedge, the gain or loss on the derivative is reported in Other comprehensive income (OCI) and is reclassified into earnings in the same periods during which the hedged transactions affect earnings. </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Stand-alone derivative: an instrument with no hedging designation. Changes in the fair value of derivatives that do not qualify for hedge accounting are reported currently in earnings, as non-interest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in the same line as the cash flows of the items being hedged.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the relationship between derivatives and hedged items, as well as the risk-management objective and the strategy for undertaking hedge transactions at the inception of the hedging relationship.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commitments is no longer firm, or treatment of the derivative as a hedge is no longer appropriate or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exposed to losses if a counterparty fails to make its payments under a contract in which the Company is in the net receiving position. The Company anticipates that the counterparties will be able to fully satisfy their obligations under the agreements. All of the contracts to which the Company is a party settle monthly or quarterly. In addition, the Company obtains collateral above certain thresholds of the fair value of its derivatives for each dealer counterparty based upon their credit standing and the Company has netting agreements with the dealers with which it does business.</w:t>
      </w:r>
    </w:p>
    <w:p>
      <w:pPr>
        <w:pStyle w:val="TextBody"/>
        <w:bidi w:val="0"/>
        <w:spacing w:lineRule="auto" w:line="288" w:before="0" w:after="120"/>
        <w:jc w:val="both"/>
        <w:rPr/>
      </w:pPr>
      <w:r>
        <w:rPr>
          <w:rFonts w:ascii="Times New Roman;serif" w:hAnsi="Times New Roman;serif"/>
          <w:b w:val="false"/>
          <w:color w:val="000000"/>
          <w:sz w:val="20"/>
          <w:u w:val="single"/>
        </w:rPr>
        <w:t>Mortgage Loans Held for Sale</w:t>
      </w:r>
      <w:r>
        <w:rPr>
          <w:rFonts w:ascii="Times New Roman;serif" w:hAnsi="Times New Roman;serif"/>
          <w:b w:val="false"/>
          <w:color w:val="000000"/>
          <w:sz w:val="20"/>
        </w:rPr>
        <w:t>: Mortgage loans held for sale generally consist of long-term, fixed rate, conforming, single-family residential real estate loans intended to be sold on the secondary market. Mortgage loans held for sale are recorded at fair value and are typically sold with servicing rights released. Changes in the fair values of mortgage loans held for sale are included in the Net gain on mortgage loans line of the Condensed Consolidated Statements of Income. Fair value elections are made at the time of origination based on the Company’s fair value election policy.</w:t>
      </w:r>
    </w:p>
    <w:p>
      <w:pPr>
        <w:pStyle w:val="TextBody"/>
        <w:bidi w:val="0"/>
        <w:spacing w:lineRule="auto" w:line="288" w:before="0" w:after="120"/>
        <w:jc w:val="both"/>
        <w:rPr/>
      </w:pPr>
      <w:r>
        <w:rPr>
          <w:rFonts w:ascii="Times New Roman;serif" w:hAnsi="Times New Roman;serif"/>
          <w:b w:val="false"/>
          <w:color w:val="000000"/>
          <w:sz w:val="20"/>
          <w:u w:val="single"/>
        </w:rPr>
        <w:t>Mortgage Banking Derivatives</w:t>
      </w:r>
      <w:r>
        <w:rPr>
          <w:rFonts w:ascii="Times New Roman;serif" w:hAnsi="Times New Roman;serif"/>
          <w:b w:val="false"/>
          <w:color w:val="000000"/>
          <w:sz w:val="20"/>
        </w:rPr>
        <w:t>: Commitments to fund mortgage loans, interest rate lock commitments (IRLC), and forward sale commitments (FSC) to be sold in the secondary market for the future delivery of these loans are accounted for as free standing derivatives. The fair value of the IRLC is recorded at the time the commitment to fund the mortgage loan is executed and is adjusted for the expected exercise of the commitment before the loan is funded. The Company sells mortgage loans to third party investors at the best execution available which includes best efforts, mandatory, and bulk bids. Loans committed under mandatory or bulk bid are considered FSC and qualify as financial derivatives. Fair values of these mortgage derivatives are estimated based on the change in the loan pricing from the date of the commitment to the period end date for any unsettled commitments. Changes in the fair values of these derivatives are included in the Net gain on mortgage loans line of the Condensed Consolidated Statements of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order to manage the interest rate risk on our uncommitted IRLC and mortgage loans held for sale pipeline, the Company enters into mortgage derivative financial instruments called To Be Announced (TBA), which we refer to as forward commitments. TBA agreements are forward contracts to purchase MBS that will be issued by a US Government Sponsored Enterprise. The Bank purchases or sells these derivatives to offset the changes in value of our mortgage loans held for sale and IRLC adjusted pipeline where we have exposure to interest rate volatility. Changes in the fair values of these derivatives are included in the Net gain on mortgage loans line of the Condensed Consolidated Statements of Income.</w:t>
      </w:r>
    </w:p>
    <w:p>
      <w:pPr>
        <w:pStyle w:val="TextBody"/>
        <w:bidi w:val="0"/>
        <w:spacing w:lineRule="auto" w:line="288" w:before="0" w:after="120"/>
        <w:jc w:val="both"/>
        <w:rPr/>
      </w:pPr>
      <w:r>
        <w:rPr>
          <w:rFonts w:ascii="Times New Roman;serif" w:hAnsi="Times New Roman;serif"/>
          <w:b w:val="false"/>
          <w:color w:val="000000"/>
          <w:sz w:val="20"/>
          <w:u w:val="single"/>
        </w:rPr>
        <w:t>Other Real Estate Owned (OREO)</w:t>
      </w:r>
      <w:r>
        <w:rPr>
          <w:rFonts w:ascii="Times New Roman;serif" w:hAnsi="Times New Roman;serif"/>
          <w:b w:val="false"/>
          <w:color w:val="000000"/>
          <w:sz w:val="20"/>
        </w:rPr>
        <w:t>: Property acquired by foreclosure or deed-in-lieu of foreclosure is initially recorded at fair value less estimated selling cost at acquisition date, establishing a new cost basis. The Company is considered to have received physical possession of real estate property collateralizing a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within non-interest expense and the asset carrying value is reduced. Gain or loss on disposition of OREO is recorded in non-interest income. In determining the fair value of the properties on the date of transfer and any subsequent estimated losses of net realizable value, the fair value of other real estate acquired by foreclosure or deed-in-lieu of foreclosure is determined primarily based upon appraisal or evaluation of the underlying property value.</w:t>
      </w:r>
    </w:p>
    <w:p>
      <w:pPr>
        <w:pStyle w:val="TextBody"/>
        <w:bidi w:val="0"/>
        <w:spacing w:lineRule="auto" w:line="288" w:before="120" w:after="120"/>
        <w:jc w:val="both"/>
        <w:rPr/>
      </w:pPr>
      <w:r>
        <w:rPr>
          <w:rFonts w:ascii="Times New Roman;serif" w:hAnsi="Times New Roman;serif"/>
          <w:b w:val="false"/>
          <w:color w:val="000000"/>
          <w:sz w:val="20"/>
          <w:u w:val="single"/>
        </w:rPr>
        <w:t>Low-Income Housing Tax Credits (LIHTC)</w:t>
      </w:r>
      <w:r>
        <w:rPr>
          <w:rFonts w:ascii="Times New Roman;serif" w:hAnsi="Times New Roman;serif"/>
          <w:b w:val="false"/>
          <w:color w:val="000000"/>
          <w:sz w:val="20"/>
        </w:rPr>
        <w:t>: The Company invests in projects to create affordable housing. These investments are classified as Other assets on the Consolidated Balance Sheets. Investments in affordable housing projects that qualify for LIHTC are accounted for using the proportional amortization method. Under the proportional amortization method, the initial cost of the investment is amortized in proportion to the tax credits and other benefits received and recognized as a component of applicable income tax expense in the Consolidated Statements of Income.</w:t>
      </w:r>
    </w:p>
    <w:p>
      <w:pPr>
        <w:pStyle w:val="TextBody"/>
        <w:bidi w:val="0"/>
        <w:spacing w:lineRule="auto" w:line="288" w:before="0" w:after="120"/>
        <w:jc w:val="both"/>
        <w:rPr/>
      </w:pPr>
      <w:r>
        <w:rPr>
          <w:rFonts w:ascii="Times New Roman;serif" w:hAnsi="Times New Roman;serif"/>
          <w:b w:val="false"/>
          <w:color w:val="000000"/>
          <w:sz w:val="20"/>
          <w:u w:val="single"/>
        </w:rPr>
        <w:t>Solar Investment Tax Credit (ITC)</w:t>
      </w:r>
      <w:r>
        <w:rPr>
          <w:rFonts w:ascii="Times New Roman;serif" w:hAnsi="Times New Roman;serif"/>
          <w:b w:val="false"/>
          <w:color w:val="000000"/>
          <w:sz w:val="20"/>
        </w:rPr>
        <w:t>: The Company purchases ITCs that are transferable, nonrefundable federal tax incentives intended to encourage investment in renewable energy infrastructure in accordance with Accounting Standards Codification (ASC) 740, “Income Taxes" and Section 48 “Energy Credit” of the Internal Revenue Code. Upon entering into a binding agreement to acquire a transferable solar ITC, the Company recognizes a deferred tax asset equal to the amount paid for the credit, assuming it is more likely than not that the credit will be realized against future taxable income only to the extent that tax credits offset no more than 75% of the total tax liability. Upon utilization of the credit against current-year tax liabilities, the Company reduces the deferred tax asset with a corresponding reduction to current tax expense. The tax benefit is recorded in the period the credit is used. Management assesses realizability of the deferred tax asset in accordance with ASC 740, including the application of valuation allowances if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u w:val="single"/>
        </w:rPr>
        <w:t>Revenue Recognition</w:t>
      </w:r>
      <w:r>
        <w:rPr>
          <w:rFonts w:ascii="Times New Roman;serif" w:hAnsi="Times New Roman;serif"/>
          <w:b w:val="false"/>
          <w:color w:val="000000"/>
          <w:sz w:val="20"/>
        </w:rPr>
        <w:t>: In accordance with the Financial Accounting Standards Board (FASB), ASC 606 Revenue from Contracts with Customers, Trust and investment management fees are earned by providing trust and investment services to customers. The Company’s performance obligation under these contracts is satisfied over time as the services are provided. Fees are recognized monthly based on the average monthly value of assets under management (AUM) and the corresponding fee rate based on the terms of the contract. Receivables are recorded on the Condensed Consolidated Balance Sheets in the Accounts receivable line item. Income related to Trust and investment management fees, Bank fees, and Risk management and insurance fees on the Condensed Consolidated Statements of Income for the three and six months ended June 30, 2026 and 2025 are considered in scope of Topic 606.</w:t>
      </w:r>
    </w:p>
    <w:p>
      <w:pPr>
        <w:pStyle w:val="TextBody"/>
        <w:bidi w:val="0"/>
        <w:spacing w:lineRule="auto" w:line="288" w:before="0" w:after="120"/>
        <w:jc w:val="both"/>
        <w:rPr/>
      </w:pPr>
      <w:r>
        <w:rPr>
          <w:rFonts w:ascii="Times New Roman;serif" w:hAnsi="Times New Roman;serif"/>
          <w:b w:val="false"/>
          <w:color w:val="000000"/>
          <w:sz w:val="20"/>
          <w:u w:val="single"/>
        </w:rPr>
        <w:t>Reclassifications</w:t>
      </w:r>
      <w:r>
        <w:rPr>
          <w:rFonts w:ascii="Times New Roman;serif" w:hAnsi="Times New Roman;serif"/>
          <w:b w:val="false"/>
          <w:color w:val="000000"/>
          <w:sz w:val="20"/>
        </w:rPr>
        <w:t>: Certain items in prior year financial statements were reclassified to conform to the current presentation. Such reclassifications had no impact on net income available to common shareholders or total shareholders’ equity.</w:t>
      </w:r>
    </w:p>
    <w:p>
      <w:pPr>
        <w:pStyle w:val="TextBody"/>
        <w:bidi w:val="0"/>
        <w:spacing w:lineRule="auto" w:line="288" w:before="0" w:after="120"/>
        <w:jc w:val="both"/>
        <w:rPr/>
      </w:pPr>
      <w:r>
        <w:rPr>
          <w:rFonts w:ascii="Times New Roman;serif" w:hAnsi="Times New Roman;serif"/>
          <w:b w:val="false"/>
          <w:color w:val="000000"/>
          <w:sz w:val="20"/>
          <w:u w:val="single"/>
        </w:rPr>
        <w:t>Recently Adopted Accounting Pronouncements</w:t>
      </w:r>
      <w:r>
        <w:rPr>
          <w:rFonts w:ascii="Times New Roman;serif" w:hAnsi="Times New Roman;serif"/>
          <w:b w:val="false"/>
          <w:color w:val="000000"/>
          <w:sz w:val="20"/>
        </w:rPr>
        <w:t>: The Company has not adopted any accounting pronouncements since the end of the Company's fiscal year ended December 31, 2025.</w:t>
      </w:r>
    </w:p>
    <w:p>
      <w:pPr>
        <w:pStyle w:val="TextBody"/>
        <w:bidi w:val="0"/>
        <w:spacing w:lineRule="auto" w:line="288" w:before="0" w:after="120"/>
        <w:jc w:val="both"/>
        <w:rPr/>
      </w:pPr>
      <w:r>
        <w:rPr>
          <w:rFonts w:ascii="Times New Roman;serif" w:hAnsi="Times New Roman;serif"/>
          <w:b w:val="false"/>
          <w:color w:val="000000"/>
          <w:sz w:val="20"/>
          <w:u w:val="single"/>
        </w:rPr>
        <w:t>Recently Issued Accounting Pronouncements, Not Yet Adopted</w:t>
      </w:r>
      <w:r>
        <w:rPr>
          <w:rFonts w:ascii="Times New Roman;serif" w:hAnsi="Times New Roman;serif"/>
          <w:b w:val="false"/>
          <w:color w:val="000000"/>
          <w:sz w:val="20"/>
        </w:rPr>
        <w:t>: The following reflects recently issued accounting pronouncements and the impact thereof to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November 4, 2024, the FASB issued ASU 2024-03 Income Statement - Reporting Comprehensive Income - Expense Disaggregation Disclosures, which requires companies to disclose additional information about certain expenses. This guidance is effective for companies with fiscal years beginning after December 15, 2026 and interim reporting periods beginning after December 15, 2027. Early adoption is permitted. The Company expects to adopt this standard beginning January 1, 2027. The Company is currently evaluating these new disclosure requirements and does not expect the adoption to have a material impact.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November 12, 2025, the FASB issued ASU 2025</w:t>
        <w:noBreakHyphen/>
        <w:t>08 Financial Instruments - Credit Losses (Topic 326): Purchased Loans, which expands the population of acquired financial assets subject to the gross-up approach in Topic 326. This guidance is effective for companies with fiscal years beginning after December 15, 2026, including interim reporting periods within those annual periods. Early adoption is permitted. The Company expects to adopt this standard beginning January 1, 2027. The Company is currently evaluating this standard and does not expect the adoption to have a 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2 – DEBT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amortized cost, fair value, and allowance for credit losses of debt securities and the corresponding amounts of gross unrealized or unrecognized gains and losses as of the date noted (dollars in thousands):</w:t>
      </w:r>
    </w:p>
    <w:tbl>
      <w:tblPr>
        <w:tblW w:w="10205" w:type="dxa"/>
        <w:jc w:val="left"/>
        <w:tblInd w:w="0" w:type="dxa"/>
        <w:tblLayout w:type="fixed"/>
        <w:tblCellMar>
          <w:top w:w="28" w:type="dxa"/>
          <w:left w:w="28" w:type="dxa"/>
          <w:bottom w:w="28" w:type="dxa"/>
          <w:right w:w="28" w:type="dxa"/>
        </w:tblCellMar>
      </w:tblPr>
      <w:tblGrid>
        <w:gridCol w:w="1356"/>
        <w:gridCol w:w="1195"/>
        <w:gridCol w:w="1215"/>
        <w:gridCol w:w="109"/>
        <w:gridCol w:w="109"/>
        <w:gridCol w:w="109"/>
        <w:gridCol w:w="196"/>
        <w:gridCol w:w="646"/>
        <w:gridCol w:w="109"/>
        <w:gridCol w:w="109"/>
        <w:gridCol w:w="109"/>
        <w:gridCol w:w="109"/>
        <w:gridCol w:w="243"/>
        <w:gridCol w:w="523"/>
        <w:gridCol w:w="136"/>
        <w:gridCol w:w="109"/>
        <w:gridCol w:w="109"/>
        <w:gridCol w:w="109"/>
        <w:gridCol w:w="238"/>
        <w:gridCol w:w="531"/>
        <w:gridCol w:w="133"/>
        <w:gridCol w:w="109"/>
        <w:gridCol w:w="109"/>
        <w:gridCol w:w="109"/>
        <w:gridCol w:w="196"/>
        <w:gridCol w:w="646"/>
        <w:gridCol w:w="109"/>
        <w:gridCol w:w="109"/>
        <w:gridCol w:w="109"/>
        <w:gridCol w:w="109"/>
        <w:gridCol w:w="282"/>
        <w:gridCol w:w="586"/>
        <w:gridCol w:w="230"/>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Allowance </w:t>
              <w:br/>
              <w:t>for Credit Losses</w:t>
            </w:r>
          </w:p>
        </w:tc>
      </w:tr>
      <w:tr>
        <w:trPr/>
        <w:tc>
          <w:tcPr>
            <w:tcW w:w="3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93"/>
        <w:gridCol w:w="1005"/>
        <w:gridCol w:w="1022"/>
        <w:gridCol w:w="109"/>
        <w:gridCol w:w="109"/>
        <w:gridCol w:w="109"/>
        <w:gridCol w:w="196"/>
        <w:gridCol w:w="736"/>
        <w:gridCol w:w="109"/>
        <w:gridCol w:w="109"/>
        <w:gridCol w:w="109"/>
        <w:gridCol w:w="109"/>
        <w:gridCol w:w="298"/>
        <w:gridCol w:w="643"/>
        <w:gridCol w:w="167"/>
        <w:gridCol w:w="109"/>
        <w:gridCol w:w="109"/>
        <w:gridCol w:w="109"/>
        <w:gridCol w:w="248"/>
        <w:gridCol w:w="722"/>
        <w:gridCol w:w="138"/>
        <w:gridCol w:w="109"/>
        <w:gridCol w:w="109"/>
        <w:gridCol w:w="109"/>
        <w:gridCol w:w="196"/>
        <w:gridCol w:w="736"/>
        <w:gridCol w:w="109"/>
        <w:gridCol w:w="109"/>
        <w:gridCol w:w="109"/>
        <w:gridCol w:w="109"/>
        <w:gridCol w:w="260"/>
        <w:gridCol w:w="580"/>
        <w:gridCol w:w="212"/>
      </w:tblGrid>
      <w:tr>
        <w:trPr/>
        <w:tc>
          <w:tcPr>
            <w:tcW w:w="119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Unrecognized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Unrecognized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Allowance </w:t>
              <w:br/>
              <w:t>for Credit Losses</w:t>
            </w:r>
          </w:p>
        </w:tc>
      </w:tr>
      <w:tr>
        <w:trPr/>
        <w:tc>
          <w:tcPr>
            <w:tcW w:w="3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issued by 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(4,967)</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4"/>
        <w:gridCol w:w="1054"/>
        <w:gridCol w:w="933"/>
        <w:gridCol w:w="109"/>
        <w:gridCol w:w="109"/>
        <w:gridCol w:w="109"/>
        <w:gridCol w:w="214"/>
        <w:gridCol w:w="707"/>
        <w:gridCol w:w="119"/>
        <w:gridCol w:w="109"/>
        <w:gridCol w:w="109"/>
        <w:gridCol w:w="109"/>
        <w:gridCol w:w="360"/>
        <w:gridCol w:w="608"/>
        <w:gridCol w:w="200"/>
        <w:gridCol w:w="109"/>
        <w:gridCol w:w="109"/>
        <w:gridCol w:w="109"/>
        <w:gridCol w:w="354"/>
        <w:gridCol w:w="625"/>
        <w:gridCol w:w="199"/>
        <w:gridCol w:w="109"/>
        <w:gridCol w:w="109"/>
        <w:gridCol w:w="109"/>
        <w:gridCol w:w="196"/>
        <w:gridCol w:w="646"/>
        <w:gridCol w:w="109"/>
        <w:gridCol w:w="109"/>
        <w:gridCol w:w="109"/>
        <w:gridCol w:w="109"/>
        <w:gridCol w:w="270"/>
        <w:gridCol w:w="561"/>
        <w:gridCol w:w="221"/>
      </w:tblGrid>
      <w:tr>
        <w:trPr/>
        <w:tc>
          <w:tcPr>
            <w:tcW w:w="119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Allowance </w:t>
              <w:br/>
              <w:t>for Credit Losses</w:t>
            </w:r>
          </w:p>
        </w:tc>
      </w:tr>
      <w:tr>
        <w:trPr/>
        <w:tc>
          <w:tcPr>
            <w:tcW w:w="31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45,623 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5"/>
        <w:gridCol w:w="1092"/>
        <w:gridCol w:w="976"/>
        <w:gridCol w:w="109"/>
        <w:gridCol w:w="109"/>
        <w:gridCol w:w="109"/>
        <w:gridCol w:w="196"/>
        <w:gridCol w:w="646"/>
        <w:gridCol w:w="109"/>
        <w:gridCol w:w="109"/>
        <w:gridCol w:w="109"/>
        <w:gridCol w:w="109"/>
        <w:gridCol w:w="299"/>
        <w:gridCol w:w="643"/>
        <w:gridCol w:w="168"/>
        <w:gridCol w:w="109"/>
        <w:gridCol w:w="109"/>
        <w:gridCol w:w="109"/>
        <w:gridCol w:w="248"/>
        <w:gridCol w:w="723"/>
        <w:gridCol w:w="138"/>
        <w:gridCol w:w="109"/>
        <w:gridCol w:w="109"/>
        <w:gridCol w:w="109"/>
        <w:gridCol w:w="196"/>
        <w:gridCol w:w="646"/>
        <w:gridCol w:w="109"/>
        <w:gridCol w:w="109"/>
        <w:gridCol w:w="109"/>
        <w:gridCol w:w="109"/>
        <w:gridCol w:w="274"/>
        <w:gridCol w:w="569"/>
        <w:gridCol w:w="223"/>
      </w:tblGrid>
      <w:tr>
        <w:trPr/>
        <w:tc>
          <w:tcPr>
            <w:tcW w:w="131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Gross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Unrecognized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Gross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Unrecognized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Allowance </w:t>
              <w:br/>
              <w:t>for Credit Losses</w:t>
            </w:r>
          </w:p>
        </w:tc>
      </w:tr>
      <w:tr>
        <w:trPr/>
        <w:tc>
          <w:tcPr>
            <w:tcW w:w="3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(4,738)</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amortization related to debt securities during the three months ended June 30, 2026 and 2025 was immaterial, and is included in Net interest income in the Consolidated Statements of Income. Net amortization related to debt securities during the six month periods ended June 30, 2026 and 2025 was $0.1 million and immaterial, and is included in Net interest income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amortized cost and estimated fair value of debt securities have contractual maturity dates shown in the table below. Expected maturities will differ from contractual maturities because borrowers may have the right to call or prepay obligations with or without call or prepayment penalties. Debt securities not due at a single maturity date are shown separately.</w:t>
      </w:r>
    </w:p>
    <w:tbl>
      <w:tblPr>
        <w:tblW w:w="8097" w:type="dxa"/>
        <w:jc w:val="left"/>
        <w:tblInd w:w="0" w:type="dxa"/>
        <w:tblLayout w:type="fixed"/>
        <w:tblCellMar>
          <w:top w:w="28" w:type="dxa"/>
          <w:left w:w="28" w:type="dxa"/>
          <w:bottom w:w="28" w:type="dxa"/>
          <w:right w:w="28" w:type="dxa"/>
        </w:tblCellMar>
      </w:tblPr>
      <w:tblGrid>
        <w:gridCol w:w="999"/>
        <w:gridCol w:w="879"/>
        <w:gridCol w:w="882"/>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Held-to-Maturity</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between one year and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between five years and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(MBS and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2022, the Company committed $6.0 million in total to two bank technology funds. Additionally, in 2025, the Company committed $3.0 million to a sale-leaseback fund as well as $3.0 million to a bank technology fund. During the six months ended June 30, 2026, the Company made $1.3 million of contributions to the fund partnerships and received no return on investment. During the year ended December 31, 2025, the Company made $2.2 million of contributions to the partnerships and received $0.1 million of return on investments from the partnerships. As of June 30, 2026 and December 31, 2025, the Company held a balance of investments in the partnerships of $5.8 million and $4.5 million, respectively, which is included in Other assets in the accompanying Condensed Consolidated Balance Sheets. The Company may be obligated to invest up to an additional $6.1 million in future contributions.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2014, the Company began investing in a small business investment company (SBIC) fund administered by the Small Business Administration (SBA). During the six months ended June 30, 2026 and year ended December 31, 2025, the Company made no contributions to the SBIC fund. As of June 30, 2026 and December 31, 2025, the Company held a balance of $2.4 million in the SBIC fund, which is included in Other assets in the accompanying Condensed Consolidated Balance Sheets. The Company may be obligated to invest up to an additional $0.5 million in future SBIC investments.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AFS and HTM securities with carrying values of $33.8 million and $29.8 million, respectively, were pledged to secure various public deposits and credit facilities of the Company.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no holdings of debt securities of any one issuer, other than the U.S. Government sponsored entities and agencies, in an amount greater than 10% of shareholders’ equity.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sell any debt securities during the six months ended June 30, 2026 or 2025. The Company did not transfer any debt securities between AFS and HTM during the six months ended June 30, 2026 or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AFS debt securities that were in an unrealized loss position, based on the length of time the individual debt securities have been in an unrealized loss position:</w:t>
      </w:r>
    </w:p>
    <w:tbl>
      <w:tblPr>
        <w:tblW w:w="10205" w:type="dxa"/>
        <w:jc w:val="left"/>
        <w:tblInd w:w="0" w:type="dxa"/>
        <w:tblLayout w:type="fixed"/>
        <w:tblCellMar>
          <w:top w:w="28" w:type="dxa"/>
          <w:left w:w="28" w:type="dxa"/>
          <w:bottom w:w="28" w:type="dxa"/>
          <w:right w:w="28" w:type="dxa"/>
        </w:tblCellMar>
      </w:tblPr>
      <w:tblGrid>
        <w:gridCol w:w="723"/>
        <w:gridCol w:w="588"/>
        <w:gridCol w:w="391"/>
        <w:gridCol w:w="109"/>
        <w:gridCol w:w="109"/>
        <w:gridCol w:w="109"/>
        <w:gridCol w:w="265"/>
        <w:gridCol w:w="265"/>
        <w:gridCol w:w="266"/>
        <w:gridCol w:w="109"/>
        <w:gridCol w:w="109"/>
        <w:gridCol w:w="109"/>
        <w:gridCol w:w="196"/>
        <w:gridCol w:w="646"/>
        <w:gridCol w:w="109"/>
        <w:gridCol w:w="109"/>
        <w:gridCol w:w="109"/>
        <w:gridCol w:w="109"/>
        <w:gridCol w:w="241"/>
        <w:gridCol w:w="538"/>
        <w:gridCol w:w="135"/>
        <w:gridCol w:w="109"/>
        <w:gridCol w:w="109"/>
        <w:gridCol w:w="109"/>
        <w:gridCol w:w="198"/>
        <w:gridCol w:w="412"/>
        <w:gridCol w:w="110"/>
        <w:gridCol w:w="109"/>
        <w:gridCol w:w="109"/>
        <w:gridCol w:w="109"/>
        <w:gridCol w:w="252"/>
        <w:gridCol w:w="522"/>
        <w:gridCol w:w="141"/>
        <w:gridCol w:w="109"/>
        <w:gridCol w:w="109"/>
        <w:gridCol w:w="109"/>
        <w:gridCol w:w="196"/>
        <w:gridCol w:w="646"/>
        <w:gridCol w:w="109"/>
        <w:gridCol w:w="109"/>
        <w:gridCol w:w="109"/>
        <w:gridCol w:w="109"/>
        <w:gridCol w:w="239"/>
        <w:gridCol w:w="532"/>
        <w:gridCol w:w="196"/>
      </w:tblGrid>
      <w:tr>
        <w:trPr/>
        <w:tc>
          <w:tcPr>
            <w:tcW w:w="72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23"/>
        <w:gridCol w:w="588"/>
        <w:gridCol w:w="391"/>
        <w:gridCol w:w="109"/>
        <w:gridCol w:w="109"/>
        <w:gridCol w:w="109"/>
        <w:gridCol w:w="265"/>
        <w:gridCol w:w="265"/>
        <w:gridCol w:w="266"/>
        <w:gridCol w:w="109"/>
        <w:gridCol w:w="109"/>
        <w:gridCol w:w="109"/>
        <w:gridCol w:w="196"/>
        <w:gridCol w:w="646"/>
        <w:gridCol w:w="109"/>
        <w:gridCol w:w="109"/>
        <w:gridCol w:w="109"/>
        <w:gridCol w:w="109"/>
        <w:gridCol w:w="274"/>
        <w:gridCol w:w="485"/>
        <w:gridCol w:w="155"/>
        <w:gridCol w:w="109"/>
        <w:gridCol w:w="109"/>
        <w:gridCol w:w="109"/>
        <w:gridCol w:w="198"/>
        <w:gridCol w:w="412"/>
        <w:gridCol w:w="110"/>
        <w:gridCol w:w="109"/>
        <w:gridCol w:w="109"/>
        <w:gridCol w:w="109"/>
        <w:gridCol w:w="252"/>
        <w:gridCol w:w="522"/>
        <w:gridCol w:w="141"/>
        <w:gridCol w:w="109"/>
        <w:gridCol w:w="109"/>
        <w:gridCol w:w="109"/>
        <w:gridCol w:w="196"/>
        <w:gridCol w:w="646"/>
        <w:gridCol w:w="109"/>
        <w:gridCol w:w="109"/>
        <w:gridCol w:w="109"/>
        <w:gridCol w:w="109"/>
        <w:gridCol w:w="270"/>
        <w:gridCol w:w="476"/>
        <w:gridCol w:w="221"/>
      </w:tblGrid>
      <w:tr>
        <w:trPr/>
        <w:tc>
          <w:tcPr>
            <w:tcW w:w="72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for Debt Securities</w:t>
      </w:r>
    </w:p>
    <w:p>
      <w:pPr>
        <w:pStyle w:val="TextBody"/>
        <w:bidi w:val="0"/>
        <w:spacing w:lineRule="auto" w:line="288" w:before="0" w:after="120"/>
        <w:jc w:val="both"/>
        <w:rPr/>
      </w:pPr>
      <w:r>
        <w:rPr>
          <w:rFonts w:ascii="Times New Roman;serif" w:hAnsi="Times New Roman;serif"/>
          <w:b w:val="false"/>
          <w:color w:val="000000"/>
          <w:sz w:val="20"/>
        </w:rPr>
        <w:t xml:space="preserve">Management measures expected credit losses on debt securities on a collective basis by major security type. The majority of our investment portfolio consists of securities issued by U.S. government entities or agencies and we consider the risk of credit loss to be zero and, therefore, we do not record an ACL. The Company's non-government backed debt securities include private label MBS, corporate bonds, and municipal bonds. Refer to Note 1 </w:t>
      </w:r>
      <w:r>
        <w:rPr>
          <w:color w:val="000000"/>
        </w:rPr>
        <w:t xml:space="preserve">– </w:t>
      </w:r>
      <w:r>
        <w:rPr>
          <w:rFonts w:ascii="Times New Roman;serif" w:hAnsi="Times New Roman;serif"/>
          <w:b w:val="false"/>
          <w:color w:val="000000"/>
          <w:sz w:val="20"/>
        </w:rPr>
        <w:t>Organization and Summary of Significant Accounting Policies for additional information on the Company’s methodology for estimating credit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accrued interest receivable for AFS debt securities and HTM debt securities was $82 thousand and $0.6 million, respectively. As of December 31, 2025, accrued interest receivable for AFS debt securities and HTM debt securities was $44 thousand and $0.4 million, respectively. Accrued interest receivable for debt securities is excluded from the estimate of credit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no ACL has been recognized for AFS debt securities in an unrealized loss position as management does not believe any of the debt securities are impaired due to reasons of credit quality. The Company’s AFS portfolio is comprised of MBS issued by U.S. government entities and agencies, which we consider the risk of credit loss to be zero. Total gross unrealized losses were attributable to changes in interest rates, relative to when the debt securities were purchased, and not due to the credit quality of the debt securities. The Company does not intend to sell the AFS debt securities that were in an unrealized loss position and it is likely that the Company will not be required to sell the AFS debt securities before recovery of their amortized cost basis, which may be at maturity.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ACL on HTM debt securities is estimated using relevant information, from internal and external sources, relating to past events, current conditions, and reasonable and supportable forecasts. The ACL on HTM debt securities was $151 thousand and $74 thousand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activity in the ACL for debt securities HTM by major security type for the periods noted:</w:t>
      </w:r>
    </w:p>
    <w:tbl>
      <w:tblPr>
        <w:tblW w:w="5635"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09"/>
        <w:gridCol w:w="448"/>
        <w:gridCol w:w="116"/>
        <w:gridCol w:w="116"/>
        <w:gridCol w:w="116"/>
        <w:gridCol w:w="116"/>
        <w:gridCol w:w="116"/>
        <w:gridCol w:w="116"/>
        <w:gridCol w:w="116"/>
        <w:gridCol w:w="116"/>
        <w:gridCol w:w="209"/>
        <w:gridCol w:w="352"/>
        <w:gridCol w:w="116"/>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Bonds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1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charged-off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98"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196"/>
        <w:gridCol w:w="421"/>
        <w:gridCol w:w="109"/>
        <w:gridCol w:w="109"/>
        <w:gridCol w:w="109"/>
        <w:gridCol w:w="109"/>
        <w:gridCol w:w="109"/>
        <w:gridCol w:w="109"/>
        <w:gridCol w:w="109"/>
        <w:gridCol w:w="109"/>
        <w:gridCol w:w="196"/>
        <w:gridCol w:w="331"/>
        <w:gridCol w:w="109"/>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Bonds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1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charged-off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monitors the credit quality of debt securities on a quarterly basis. As of June 30, 2026 and December 31, 2025, there were no debt securities past due or on non-accrual.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3 – LOANS AND THE ALLOWANCE FOR CREDIT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 summary of the Company’s loans at amortized cost as of the dates noted:</w:t>
      </w:r>
    </w:p>
    <w:tbl>
      <w:tblPr>
        <w:tblW w:w="7119" w:type="dxa"/>
        <w:jc w:val="left"/>
        <w:tblInd w:w="0" w:type="dxa"/>
        <w:tblLayout w:type="fixed"/>
        <w:tblCellMar>
          <w:top w:w="28" w:type="dxa"/>
          <w:left w:w="28" w:type="dxa"/>
          <w:bottom w:w="28" w:type="dxa"/>
          <w:right w:w="28" w:type="dxa"/>
        </w:tblCellMar>
      </w:tblPr>
      <w:tblGrid>
        <w:gridCol w:w="1591"/>
        <w:gridCol w:w="1398"/>
        <w:gridCol w:w="1406"/>
        <w:gridCol w:w="196"/>
        <w:gridCol w:w="871"/>
        <w:gridCol w:w="109"/>
        <w:gridCol w:w="109"/>
        <w:gridCol w:w="109"/>
        <w:gridCol w:w="109"/>
        <w:gridCol w:w="196"/>
        <w:gridCol w:w="871"/>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2,646,302 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Portfolio layer method basis adjustment for hedged portfolio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2,625,800 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accounted for under the fair value option</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2,691,506 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2,628,982 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Total loans include net unamortized loan origination fees of $0.5 million and $0.4 million as of June 30, 2026 and December 31, 2025, respectively, and net unamortized discounts on loan purchased or acquired of $2.6 million and $2.9 million as of June 30, 2026 and December 31, 2025, respectively.</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Includes $1.8 million and $3.2 million of unpaid principal balance of loans held for investment measured at fair value as of June 30, 2026 and December 31, 2025, respectively. Includes fair value adjustments on loans held for investment accounted for under the fair value option. See Note 12 – Fair Value.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loans held for investment included $113.8 million and $121.3 million, respectively, of performing loans purchased through mergers 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by class, an aging analysis of the amortized cost basis in loans past due as of the date noted (dollars in thousands):</w:t>
      </w:r>
    </w:p>
    <w:tbl>
      <w:tblPr>
        <w:tblW w:w="11585" w:type="dxa"/>
        <w:jc w:val="left"/>
        <w:tblInd w:w="0" w:type="dxa"/>
        <w:tblLayout w:type="fixed"/>
        <w:tblCellMar>
          <w:top w:w="28" w:type="dxa"/>
          <w:left w:w="28" w:type="dxa"/>
          <w:bottom w:w="28" w:type="dxa"/>
          <w:right w:w="28" w:type="dxa"/>
        </w:tblCellMar>
      </w:tblPr>
      <w:tblGrid>
        <w:gridCol w:w="714"/>
        <w:gridCol w:w="172"/>
        <w:gridCol w:w="150"/>
        <w:gridCol w:w="109"/>
        <w:gridCol w:w="109"/>
        <w:gridCol w:w="109"/>
        <w:gridCol w:w="196"/>
        <w:gridCol w:w="556"/>
        <w:gridCol w:w="109"/>
        <w:gridCol w:w="109"/>
        <w:gridCol w:w="109"/>
        <w:gridCol w:w="109"/>
        <w:gridCol w:w="196"/>
        <w:gridCol w:w="421"/>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8"/>
        <w:gridCol w:w="562"/>
        <w:gridCol w:w="111"/>
        <w:gridCol w:w="109"/>
        <w:gridCol w:w="109"/>
        <w:gridCol w:w="109"/>
        <w:gridCol w:w="196"/>
        <w:gridCol w:w="871"/>
        <w:gridCol w:w="154"/>
      </w:tblGrid>
      <w:tr>
        <w:trPr/>
        <w:tc>
          <w:tcPr>
            <w:tcW w:w="7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60-89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Loans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Loans Accounted for Under the Fair Value Option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w:t>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2,692,717 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2,713,688 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570" w:type="dxa"/>
        <w:jc w:val="left"/>
        <w:tblInd w:w="0" w:type="dxa"/>
        <w:tblLayout w:type="fixed"/>
        <w:tblCellMar>
          <w:top w:w="28" w:type="dxa"/>
          <w:left w:w="28" w:type="dxa"/>
          <w:bottom w:w="28" w:type="dxa"/>
          <w:right w:w="28" w:type="dxa"/>
        </w:tblCellMar>
      </w:tblPr>
      <w:tblGrid>
        <w:gridCol w:w="499"/>
        <w:gridCol w:w="268"/>
        <w:gridCol w:w="26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8"/>
        <w:gridCol w:w="562"/>
        <w:gridCol w:w="111"/>
        <w:gridCol w:w="109"/>
        <w:gridCol w:w="109"/>
        <w:gridCol w:w="109"/>
        <w:gridCol w:w="196"/>
        <w:gridCol w:w="87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30-59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60-89</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Loans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Loans Accounted for Under the Fair Value Option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w:t>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2,627,231 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2,646,302 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2,649,484 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Refer to Note 12 – Fair Value for additional information on the measurement of loans accounted for under the fair value option.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Loan Modifications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GAAP requires that certain types of loan modifications to borrowers experiencing financial difficulty be reported and include the following: (i) principal forgiveness, (ii) interest rate reduction, (iii) other than insignificant payment delay, (iv) term extension, or (v) any combination of the foregoing.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presents the amortized cost basis as of June 30, 2026 of the loans modified to borrowers experiencing financial difficulty disaggregated by class of financing receivable and type of concession granted during the six months ended June 30, 2026. </w:t>
      </w:r>
    </w:p>
    <w:tbl>
      <w:tblPr>
        <w:tblW w:w="10205" w:type="dxa"/>
        <w:jc w:val="left"/>
        <w:tblInd w:w="0" w:type="dxa"/>
        <w:tblLayout w:type="fixed"/>
        <w:tblCellMar>
          <w:top w:w="28" w:type="dxa"/>
          <w:left w:w="28" w:type="dxa"/>
          <w:bottom w:w="28" w:type="dxa"/>
          <w:right w:w="28" w:type="dxa"/>
        </w:tblCellMar>
      </w:tblPr>
      <w:tblGrid>
        <w:gridCol w:w="695"/>
        <w:gridCol w:w="600"/>
        <w:gridCol w:w="603"/>
        <w:gridCol w:w="429"/>
        <w:gridCol w:w="893"/>
        <w:gridCol w:w="240"/>
        <w:gridCol w:w="109"/>
        <w:gridCol w:w="109"/>
        <w:gridCol w:w="109"/>
        <w:gridCol w:w="457"/>
        <w:gridCol w:w="949"/>
        <w:gridCol w:w="257"/>
        <w:gridCol w:w="109"/>
        <w:gridCol w:w="109"/>
        <w:gridCol w:w="109"/>
        <w:gridCol w:w="269"/>
        <w:gridCol w:w="766"/>
        <w:gridCol w:w="149"/>
        <w:gridCol w:w="109"/>
        <w:gridCol w:w="109"/>
        <w:gridCol w:w="109"/>
        <w:gridCol w:w="109"/>
        <w:gridCol w:w="109"/>
        <w:gridCol w:w="109"/>
        <w:gridCol w:w="109"/>
        <w:gridCol w:w="519"/>
        <w:gridCol w:w="519"/>
        <w:gridCol w:w="1443"/>
      </w:tblGrid>
      <w:tr>
        <w:trPr/>
        <w:tc>
          <w:tcPr>
            <w:tcW w:w="6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5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forgiveness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class of financing receivable</w:t>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5,220 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financial effect by type of modification made to borrowers experiencing financial difficulty during the periods noted:</w:t>
      </w:r>
    </w:p>
    <w:tbl>
      <w:tblPr>
        <w:tblW w:w="10205" w:type="dxa"/>
        <w:jc w:val="left"/>
        <w:tblInd w:w="0" w:type="dxa"/>
        <w:tblLayout w:type="fixed"/>
        <w:tblCellMar>
          <w:top w:w="28" w:type="dxa"/>
          <w:left w:w="28" w:type="dxa"/>
          <w:bottom w:w="28" w:type="dxa"/>
          <w:right w:w="28" w:type="dxa"/>
        </w:tblCellMar>
      </w:tblPr>
      <w:tblGrid>
        <w:gridCol w:w="665"/>
        <w:gridCol w:w="559"/>
        <w:gridCol w:w="562"/>
        <w:gridCol w:w="109"/>
        <w:gridCol w:w="109"/>
        <w:gridCol w:w="109"/>
        <w:gridCol w:w="109"/>
        <w:gridCol w:w="109"/>
        <w:gridCol w:w="208"/>
        <w:gridCol w:w="208"/>
        <w:gridCol w:w="208"/>
        <w:gridCol w:w="208"/>
        <w:gridCol w:w="456"/>
        <w:gridCol w:w="809"/>
        <w:gridCol w:w="217"/>
        <w:gridCol w:w="109"/>
        <w:gridCol w:w="109"/>
        <w:gridCol w:w="109"/>
        <w:gridCol w:w="616"/>
        <w:gridCol w:w="608"/>
        <w:gridCol w:w="1431"/>
        <w:gridCol w:w="109"/>
        <w:gridCol w:w="109"/>
        <w:gridCol w:w="109"/>
        <w:gridCol w:w="656"/>
        <w:gridCol w:w="656"/>
        <w:gridCol w:w="939"/>
      </w:tblGrid>
      <w:tr>
        <w:trPr/>
        <w:tc>
          <w:tcPr>
            <w:tcW w:w="66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5560" w:type="dxa"/>
            <w:gridSpan w:val="12"/>
            <w:tcBorders/>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forgiveness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interest rate reduction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term extension</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 years</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were no loan modifications made to borrowers experiencing financial difficulty during the three months ended June 30, 2026. There were no loan modifications made to borrowers experiencing financial difficulty during the three and six months ended June 30, 2025. During the three and six months ended June 30, 2026, one loan with an amortized cost of $0.7 million as of June 30, 2026 defaulted subsequent to being granted a modification in the preceding twelve months. There were no loans that experienced a default during the three and six months ended June 30, 2025 subsequent to being granted a modification in the preceding twelve months. Default is determined at 90 days or more past due, charge-off, or foreclosure.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Non-Accrual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accrual of interest on loans is discontinued at the time the loan becomes 90 days or more delinquent unless the loan is well secured and in the process of collection or renewal due to maturity. Past due status is based on the contractual terms of the loan. In all cases, loans are placed on non-accrual status or charged off if collection of interest or principal is considered doubtful. The following presents the amortized cost basis of loans on non-accrual status and loans past due over 89 days still accruing by class as of the dates noted:</w:t>
      </w:r>
    </w:p>
    <w:tbl>
      <w:tblPr>
        <w:tblW w:w="9547" w:type="dxa"/>
        <w:jc w:val="left"/>
        <w:tblInd w:w="0" w:type="dxa"/>
        <w:tblLayout w:type="fixed"/>
        <w:tblCellMar>
          <w:top w:w="28" w:type="dxa"/>
          <w:left w:w="28" w:type="dxa"/>
          <w:bottom w:w="28" w:type="dxa"/>
          <w:right w:w="28" w:type="dxa"/>
        </w:tblCellMar>
      </w:tblPr>
      <w:tblGrid>
        <w:gridCol w:w="717"/>
        <w:gridCol w:w="630"/>
        <w:gridCol w:w="633"/>
        <w:gridCol w:w="406"/>
        <w:gridCol w:w="1152"/>
        <w:gridCol w:w="227"/>
        <w:gridCol w:w="109"/>
        <w:gridCol w:w="109"/>
        <w:gridCol w:w="109"/>
        <w:gridCol w:w="401"/>
        <w:gridCol w:w="1323"/>
        <w:gridCol w:w="225"/>
        <w:gridCol w:w="109"/>
        <w:gridCol w:w="109"/>
        <w:gridCol w:w="109"/>
        <w:gridCol w:w="822"/>
        <w:gridCol w:w="1706"/>
        <w:gridCol w:w="6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w:t>
              <w:br/>
              <w:t>no 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non-accrual loans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past due over 89 days still accruing</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As of June 30, 2026, the Company had an allowance of $2.4 million on non-accrual loans.</w:t>
      </w:r>
    </w:p>
    <w:tbl>
      <w:tblPr>
        <w:tblW w:w="9874"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406"/>
        <w:gridCol w:w="1152"/>
        <w:gridCol w:w="227"/>
        <w:gridCol w:w="109"/>
        <w:gridCol w:w="109"/>
        <w:gridCol w:w="109"/>
        <w:gridCol w:w="401"/>
        <w:gridCol w:w="1323"/>
        <w:gridCol w:w="225"/>
        <w:gridCol w:w="109"/>
        <w:gridCol w:w="109"/>
        <w:gridCol w:w="109"/>
        <w:gridCol w:w="822"/>
        <w:gridCol w:w="1706"/>
        <w:gridCol w:w="65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w:t>
              <w:br/>
              <w:t>no 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non-accrual loans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past due over 89 days still accruing</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9"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16,559 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24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As of December 31, 2025, the Company had an allowance of $3.3 million on non-accrual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no interest income on non-accrual loans during the three and six month periods ended June 30, 2026 and 2025. The Company reversed an immaterial amount of interest income on non-accrual loans during the three and six month periods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Collateral Dependent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loan is considered collateral dependent when the borrower is experiencing financial difficulty and repayment is expected to be provided substantially through the operation or sale of the collateral. The following presents the amortized cost basis of collateral-dependent loans, which are individually analyzed to determine expected credit losses, by class of loans as of the date noted:</w:t>
      </w:r>
    </w:p>
    <w:tbl>
      <w:tblPr>
        <w:tblW w:w="695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369"/>
        <w:gridCol w:w="1046"/>
        <w:gridCol w:w="205"/>
        <w:gridCol w:w="109"/>
        <w:gridCol w:w="109"/>
        <w:gridCol w:w="109"/>
        <w:gridCol w:w="284"/>
        <w:gridCol w:w="938"/>
        <w:gridCol w:w="158"/>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Collateral Dependent Loans</w:t>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by Cash and</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by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57"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369"/>
        <w:gridCol w:w="1046"/>
        <w:gridCol w:w="205"/>
        <w:gridCol w:w="109"/>
        <w:gridCol w:w="109"/>
        <w:gridCol w:w="109"/>
        <w:gridCol w:w="284"/>
        <w:gridCol w:w="938"/>
        <w:gridCol w:w="158"/>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030" w:type="dxa"/>
            <w:gridSpan w:val="1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by Cash and</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by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Real Estate Owned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acquired through or instead of loan foreclosure are initially recorded at fair value less costs to sell when acquired, establishing a new cost basis. They are subsequently accounted for at lower of cost or fair value less estimated costs to sell. Fair value is commonly based on recent real estate appraisals which are updated no less frequently than on an annual basis. Appraisals may utilize a single valuation approach or a combination of approaches including comparable sales and the income approach. Adjustments are routinely made in the appraisal process by the independent appraisers for differences between comparable sales and income data available. During the year ended December 31, 2025, the Company sold two OREO properties resulting in a net gain on sale of $0.5 million. During the three months ended March 31, 2026, the Company’s last remaining OREO property was sold for a nominal loss. As of June 30, 2026 and December 31, 2025, OREO properties had carrying amounts of $0.0 million and $3.0 million, respectively. As of June 30, 2026 and December 31, 2025, there were no loans secured by real estate in the process of foreclosure.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on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ACL for loans is measured on the loan’s amortized cost basis, excluding interest receivable. Interest receivable excluded at June 30, 2026 and December 31, 2025 was $10.4 million, presented in Accrued interest receivable on the Condensed Consolidated Balance Sheets. Refer to Note 1 – Organization and Summary of Significant Accounting Policies for additional information related to the Company’s methodology on estimated credit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ACL represents management’s best estimate of current expected credit losses (CECL) for loans considering available information, from internal and external sources, relevant to assessing collectability over the loans’ contractual terms, adjusted for expected prepayments when appropriate. Our quantitative DCF models use economic forecasts, including housing price index (HPI), gross domestic product (GDP), and national unemployment.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Allocation of a portion of the ACL to one category of loans does not preclude its availability to absorb losses in other categories. The following presents the activity in the ACL by portfolio segment during the periods presented:</w:t>
      </w:r>
    </w:p>
    <w:tbl>
      <w:tblPr>
        <w:tblW w:w="10563" w:type="dxa"/>
        <w:jc w:val="left"/>
        <w:tblInd w:w="0" w:type="dxa"/>
        <w:tblLayout w:type="fixed"/>
        <w:tblCellMar>
          <w:top w:w="28" w:type="dxa"/>
          <w:left w:w="28" w:type="dxa"/>
          <w:bottom w:w="28" w:type="dxa"/>
          <w:right w:w="28" w:type="dxa"/>
        </w:tblCellMar>
      </w:tblPr>
      <w:tblGrid>
        <w:gridCol w:w="449"/>
        <w:gridCol w:w="263"/>
        <w:gridCol w:w="264"/>
        <w:gridCol w:w="196"/>
        <w:gridCol w:w="556"/>
        <w:gridCol w:w="109"/>
        <w:gridCol w:w="109"/>
        <w:gridCol w:w="109"/>
        <w:gridCol w:w="109"/>
        <w:gridCol w:w="227"/>
        <w:gridCol w:w="487"/>
        <w:gridCol w:w="127"/>
        <w:gridCol w:w="109"/>
        <w:gridCol w:w="109"/>
        <w:gridCol w:w="109"/>
        <w:gridCol w:w="239"/>
        <w:gridCol w:w="678"/>
        <w:gridCol w:w="134"/>
        <w:gridCol w:w="109"/>
        <w:gridCol w:w="109"/>
        <w:gridCol w:w="109"/>
        <w:gridCol w:w="196"/>
        <w:gridCol w:w="556"/>
        <w:gridCol w:w="109"/>
        <w:gridCol w:w="109"/>
        <w:gridCol w:w="109"/>
        <w:gridCol w:w="109"/>
        <w:gridCol w:w="218"/>
        <w:gridCol w:w="620"/>
        <w:gridCol w:w="123"/>
        <w:gridCol w:w="109"/>
        <w:gridCol w:w="109"/>
        <w:gridCol w:w="109"/>
        <w:gridCol w:w="198"/>
        <w:gridCol w:w="426"/>
        <w:gridCol w:w="112"/>
        <w:gridCol w:w="109"/>
        <w:gridCol w:w="109"/>
        <w:gridCol w:w="109"/>
        <w:gridCol w:w="225"/>
        <w:gridCol w:w="639"/>
        <w:gridCol w:w="127"/>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securities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Consumer</w:t>
              <w:br/>
              <w:t xml:space="preserve">and </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Construction</w:t>
              <w:br/>
              <w:t xml:space="preserve">and </w:t>
              <w:b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1-4</w:t>
              <w:br/>
              <w:t>family</w:t>
              <w:b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Non-Owner</w:t>
              <w:br/>
              <w:t xml:space="preserve">occupied </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Owner </w:t>
              <w:br/>
              <w:t>occupied</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w:t>
              <w:br/>
              <w:t xml:space="preserve">and </w:t>
              <w:b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ACL for the three months ended 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(release of) credit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ACL for the six months ended June 30, 2026</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(release of)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63" w:type="dxa"/>
        <w:jc w:val="left"/>
        <w:tblInd w:w="0" w:type="dxa"/>
        <w:tblLayout w:type="fixed"/>
        <w:tblCellMar>
          <w:top w:w="28" w:type="dxa"/>
          <w:left w:w="28" w:type="dxa"/>
          <w:bottom w:w="28" w:type="dxa"/>
          <w:right w:w="28" w:type="dxa"/>
        </w:tblCellMar>
      </w:tblPr>
      <w:tblGrid>
        <w:gridCol w:w="449"/>
        <w:gridCol w:w="263"/>
        <w:gridCol w:w="264"/>
        <w:gridCol w:w="196"/>
        <w:gridCol w:w="556"/>
        <w:gridCol w:w="109"/>
        <w:gridCol w:w="109"/>
        <w:gridCol w:w="109"/>
        <w:gridCol w:w="109"/>
        <w:gridCol w:w="227"/>
        <w:gridCol w:w="487"/>
        <w:gridCol w:w="127"/>
        <w:gridCol w:w="109"/>
        <w:gridCol w:w="109"/>
        <w:gridCol w:w="109"/>
        <w:gridCol w:w="239"/>
        <w:gridCol w:w="678"/>
        <w:gridCol w:w="134"/>
        <w:gridCol w:w="109"/>
        <w:gridCol w:w="109"/>
        <w:gridCol w:w="109"/>
        <w:gridCol w:w="196"/>
        <w:gridCol w:w="556"/>
        <w:gridCol w:w="109"/>
        <w:gridCol w:w="109"/>
        <w:gridCol w:w="109"/>
        <w:gridCol w:w="109"/>
        <w:gridCol w:w="218"/>
        <w:gridCol w:w="620"/>
        <w:gridCol w:w="123"/>
        <w:gridCol w:w="109"/>
        <w:gridCol w:w="109"/>
        <w:gridCol w:w="109"/>
        <w:gridCol w:w="198"/>
        <w:gridCol w:w="426"/>
        <w:gridCol w:w="112"/>
        <w:gridCol w:w="109"/>
        <w:gridCol w:w="109"/>
        <w:gridCol w:w="109"/>
        <w:gridCol w:w="225"/>
        <w:gridCol w:w="639"/>
        <w:gridCol w:w="127"/>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w:t>
              <w:br/>
              <w:t>securities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Consumer</w:t>
              <w:br/>
              <w:t xml:space="preserve">and </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Construction</w:t>
              <w:br/>
              <w:t xml:space="preserve">and </w:t>
              <w:b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1-4</w:t>
              <w:br/>
              <w:t>family</w:t>
              <w:b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Non-Owner</w:t>
              <w:br/>
              <w:t xml:space="preserve">occupied </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Owner </w:t>
              <w:br/>
              <w:t>occupied</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w:t>
              <w:br/>
              <w:t xml:space="preserve">and </w:t>
              <w:b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ACL for the three months ended June 30, 2025</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(release of) credit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ACL for the six months ended June 30, 2025</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(release of)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categorizes loans into risk categories based on relevant information about the ability of the borrowers to service their debt such as: current financial information, historical payment experience, credit documentation, public information, and current economic trends, among other factors. The Company analyzes loans individually by classifying the loans by credit risk on a quarterly basis. The Company uses the following definitions for risk ratings:</w:t>
      </w:r>
    </w:p>
    <w:p>
      <w:pPr>
        <w:pStyle w:val="TextBody"/>
        <w:bidi w:val="0"/>
        <w:spacing w:lineRule="auto" w:line="288" w:before="0" w:after="120"/>
        <w:jc w:val="both"/>
        <w:rPr/>
      </w:pPr>
      <w:r>
        <w:rPr>
          <w:rFonts w:ascii="Times New Roman;serif" w:hAnsi="Times New Roman;serif"/>
          <w:b w:val="false"/>
          <w:color w:val="000000"/>
          <w:sz w:val="20"/>
          <w:u w:val="single"/>
        </w:rPr>
        <w:t>Special mention</w:t>
      </w:r>
      <w:r>
        <w:rPr>
          <w:rFonts w:ascii="Times New Roman;serif" w:hAnsi="Times New Roman;serif"/>
          <w:b w:val="false"/>
          <w:color w:val="000000"/>
          <w:sz w:val="20"/>
        </w:rPr>
        <w:t>: Loans classified as special mention have a potential weakness or borrowing relationships that require more than the usual amount of management attention. Adverse industry conditions, deteriorating financial conditions, declining trends, management problems, documentation deficiencies, or other similar weaknesses may be evident. Ability to meet current payment schedules may be questionable, even though interest and principal are still being paid as agreed. The asset has potential weaknesses that may result in deteriorating repayment prospects if left uncorrected. Loans in this risk grade are not considered adversely classified.</w:t>
      </w:r>
    </w:p>
    <w:p>
      <w:pPr>
        <w:pStyle w:val="TextBody"/>
        <w:bidi w:val="0"/>
        <w:spacing w:lineRule="auto" w:line="288" w:before="0" w:after="120"/>
        <w:jc w:val="both"/>
        <w:rPr/>
      </w:pPr>
      <w:r>
        <w:rPr>
          <w:rFonts w:ascii="Times New Roman;serif" w:hAnsi="Times New Roman;serif"/>
          <w:b w:val="false"/>
          <w:color w:val="000000"/>
          <w:sz w:val="20"/>
          <w:u w:val="single"/>
        </w:rPr>
        <w:t>Substandard</w:t>
      </w:r>
      <w:r>
        <w:rPr>
          <w:rFonts w:ascii="Times New Roman;serif" w:hAnsi="Times New Roman;serif"/>
          <w:b w:val="false"/>
          <w:color w:val="000000"/>
          <w:sz w:val="20"/>
        </w:rPr>
        <w:t>: Substandard loans are considered "classified" and are inadequately protected by the current net worth and paying capacity of the obligor or by the collateral pledged, if any. Loans so classified have a well-defined weakness or weaknesses that jeopardizes the liquidation of the debt. They are characterized by the distinct possibility that the Bank will sustain some loss if the deficiencies are not corrected. Loans in this category may be placed on non-accrual status and may individually be analyzed.</w:t>
      </w:r>
    </w:p>
    <w:p>
      <w:pPr>
        <w:pStyle w:val="TextBody"/>
        <w:bidi w:val="0"/>
        <w:spacing w:lineRule="auto" w:line="288" w:before="0" w:after="120"/>
        <w:jc w:val="both"/>
        <w:rPr/>
      </w:pPr>
      <w:r>
        <w:rPr>
          <w:rFonts w:ascii="Times New Roman;serif" w:hAnsi="Times New Roman;serif"/>
          <w:b w:val="false"/>
          <w:color w:val="000000"/>
          <w:sz w:val="20"/>
          <w:u w:val="single"/>
        </w:rPr>
        <w:t>Doubtful</w:t>
      </w:r>
      <w:r>
        <w:rPr>
          <w:rFonts w:ascii="Times New Roman;serif" w:hAnsi="Times New Roman;serif"/>
          <w:b w:val="false"/>
          <w:color w:val="000000"/>
          <w:sz w:val="20"/>
        </w:rPr>
        <w:t>: Loans graded Doubtful are considered "classified" and have all the weaknesses inherent in those classified as Substandard with the added characteristic that the weaknesses make collection or liquidation in full, on the basis of currently known facts, conditions, and values, highly questionable and improbable. However, the amount of certainty of eventual loss is not known because of specific pending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Loans accounted for under the fair value option are not rated.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amortized cost basis of loans by credit quality indicator, by class of financing receivable, and year of origination for term loans as of June 30, 2026 and December 31, 2025. For revolving lines of credit that converted to term loans, if the conversion involved a credit decision, such loans are included in the origination year in which the credit decision was made. If revolving lines of credit converted to term loans without a credit decision, such lines of credit are included in the “Revolving lines of credit converted to term” column in the following table (dollars in thousands):</w:t>
      </w:r>
    </w:p>
    <w:tbl>
      <w:tblPr>
        <w:tblW w:w="11598" w:type="dxa"/>
        <w:jc w:val="left"/>
        <w:tblInd w:w="0" w:type="dxa"/>
        <w:tblLayout w:type="fixed"/>
        <w:tblCellMar>
          <w:top w:w="28" w:type="dxa"/>
          <w:left w:w="28" w:type="dxa"/>
          <w:bottom w:w="28" w:type="dxa"/>
          <w:right w:w="28" w:type="dxa"/>
        </w:tblCellMar>
      </w:tblPr>
      <w:tblGrid>
        <w:gridCol w:w="740"/>
        <w:gridCol w:w="151"/>
        <w:gridCol w:w="13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736"/>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Loans Amortized Cost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securities,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securities,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181,949 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Not rated</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2318" w:type="dxa"/>
        <w:jc w:val="left"/>
        <w:tblInd w:w="0" w:type="dxa"/>
        <w:tblLayout w:type="fixed"/>
        <w:tblCellMar>
          <w:top w:w="28" w:type="dxa"/>
          <w:left w:w="28" w:type="dxa"/>
          <w:bottom w:w="28" w:type="dxa"/>
          <w:right w:w="28" w:type="dxa"/>
        </w:tblCellMar>
      </w:tblPr>
      <w:tblGrid>
        <w:gridCol w:w="492"/>
        <w:gridCol w:w="300"/>
        <w:gridCol w:w="18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871"/>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Loans Amortized Cost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1-4 family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1-4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1,093,115 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765,473 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221,515 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234,237 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2,600,715 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Total not rated</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225,726 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682,445 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606,629 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2,713,688 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Includes loans held for investment measured at fair value as of June 30, 2026. Includes fair value adjustments on loans held for investment accounted for under the fair value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180"/>
        <w:jc w:val="both"/>
        <w:rPr/>
      </w:pPr>
      <w:r>
        <w:rPr/>
      </w:r>
    </w:p>
    <w:tbl>
      <w:tblPr>
        <w:tblW w:w="12183" w:type="dxa"/>
        <w:jc w:val="left"/>
        <w:tblInd w:w="0" w:type="dxa"/>
        <w:tblLayout w:type="fixed"/>
        <w:tblCellMar>
          <w:top w:w="28" w:type="dxa"/>
          <w:left w:w="28" w:type="dxa"/>
          <w:bottom w:w="28" w:type="dxa"/>
          <w:right w:w="28" w:type="dxa"/>
        </w:tblCellMar>
      </w:tblPr>
      <w:tblGrid>
        <w:gridCol w:w="580"/>
        <w:gridCol w:w="220"/>
        <w:gridCol w:w="22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87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Loans Amortized Cost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securities,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securities,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164,726 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Not rated</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189,081 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1-4 family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1-4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1,033,665 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809,875 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 occupied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204,078 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225,281 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year-to-date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2288" w:type="dxa"/>
        <w:jc w:val="left"/>
        <w:tblInd w:w="0" w:type="dxa"/>
        <w:tblLayout w:type="fixed"/>
        <w:tblCellMar>
          <w:top w:w="28" w:type="dxa"/>
          <w:left w:w="28" w:type="dxa"/>
          <w:bottom w:w="28" w:type="dxa"/>
          <w:right w:w="28" w:type="dxa"/>
        </w:tblCellMar>
      </w:tblPr>
      <w:tblGrid>
        <w:gridCol w:w="505"/>
        <w:gridCol w:w="220"/>
        <w:gridCol w:w="22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87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Term Loans Amortized Cost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2,531,858 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doubtful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Total not rated</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407,859 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315,919 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2,649,484 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Includes loans held for investment measured at fair value as of December 31, 2025. Includes fair value adjustments on loans held for investment accounted for under the fair value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4 – 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Goodwill is tested annually for impairment in the fourth quarter or earlier upon the occurrence of certain events. A significant amount of judgment is involved in determining if an indicator of goodwill impairment occurred. Such indicators may include, among others; a significant decline in expected future cash flows; a sustained significant decline in the Company's stock price and market capitalization; a significant adverse change in legal factors or in the business climate; adverse assessment or action by a regulator; and unanticipated competition.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goodwill impairment analysis includes the determination of the carrying value of the reporting unit, including the existing goodwill, and estimating the fair value of the reporting unit. If the fair value is less than its carrying amount, goodwill impairment is recognized equal to the difference between the fair value and its carrying amount, not to exceed its carrying amount. As of June 30, 2026, there has not been an identified or recorded impairment of goodwill. Goodwill totaled $30.4 million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Leases in which the Company is determined to be the lessee are primarily operating leases comprised of real estate property and office space for our corporate headquarters and profit centers with terms that extend to 2036. In accordance with ASC 842, operating leases are required to be recognized as a right-of-use asset with a corresponding lease liability.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not include short-term leases with initial terms of twelve months or less on the Condensed Consolidated Balance Sheets. The following presents the classification of the right-of-use assets and corresponding liabilities within the Condensed Consolidated Balance Sheets, as of the dates noted:</w:t>
      </w:r>
    </w:p>
    <w:tbl>
      <w:tblPr>
        <w:tblW w:w="6166" w:type="dxa"/>
        <w:jc w:val="left"/>
        <w:tblInd w:w="0" w:type="dxa"/>
        <w:tblLayout w:type="fixed"/>
        <w:tblCellMar>
          <w:top w:w="28" w:type="dxa"/>
          <w:left w:w="28" w:type="dxa"/>
          <w:bottom w:w="28" w:type="dxa"/>
          <w:right w:w="28" w:type="dxa"/>
        </w:tblCellMar>
      </w:tblPr>
      <w:tblGrid>
        <w:gridCol w:w="928"/>
        <w:gridCol w:w="816"/>
        <w:gridCol w:w="820"/>
        <w:gridCol w:w="394"/>
        <w:gridCol w:w="394"/>
        <w:gridCol w:w="396"/>
        <w:gridCol w:w="196"/>
        <w:gridCol w:w="646"/>
        <w:gridCol w:w="109"/>
        <w:gridCol w:w="109"/>
        <w:gridCol w:w="109"/>
        <w:gridCol w:w="109"/>
        <w:gridCol w:w="224"/>
        <w:gridCol w:w="740"/>
        <w:gridCol w:w="176"/>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Right-of-Use Assets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Liabilities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23,012 </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 agreements typically include an option to renew the lease at the Company’s discretion. To the extent the Company is reasonably certain it will exercise the renewal option at the inception of the lease, the Company will include the extended term in the calculation of the right-of-use asset and lease liability. ASC 842 requires the use of the rate implicit in the lease when it is readily determinable. As this rate is typically not readily determinable, at the inception of the lease, the Company uses its collateralized incremental borrowing rate over a similar term. The amount of the right-of-use asset and lease liability are impacted by the discount rate used to calculate the present value of the minimum lease payments over the term of the lease. The following presents information related to operating leases:</w:t>
      </w:r>
    </w:p>
    <w:tbl>
      <w:tblPr>
        <w:tblW w:w="5762" w:type="dxa"/>
        <w:jc w:val="left"/>
        <w:tblInd w:w="0" w:type="dxa"/>
        <w:tblLayout w:type="fixed"/>
        <w:tblCellMar>
          <w:top w:w="28" w:type="dxa"/>
          <w:left w:w="28" w:type="dxa"/>
          <w:bottom w:w="28" w:type="dxa"/>
          <w:right w:w="28" w:type="dxa"/>
        </w:tblCellMar>
      </w:tblPr>
      <w:tblGrid>
        <w:gridCol w:w="1222"/>
        <w:gridCol w:w="1074"/>
        <w:gridCol w:w="1078"/>
        <w:gridCol w:w="240"/>
        <w:gridCol w:w="226"/>
        <w:gridCol w:w="455"/>
        <w:gridCol w:w="109"/>
        <w:gridCol w:w="109"/>
        <w:gridCol w:w="109"/>
        <w:gridCol w:w="238"/>
        <w:gridCol w:w="238"/>
        <w:gridCol w:w="66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Weighted-Average Remaining Lease Term</w:t>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years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Weighted-Average Discount Rate</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4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6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contain fixed and variable lease components and it has elected to account for all classes of underlying assets as a single lease component. Variable lease costs primarily represent common area maintenance and parking. The Company recognized lease costs in Occupancy and equipment expense in the accompanying Condensed Consolidated Statements of Income. The following presents the Company’s net lease costs during the periods presented:</w:t>
      </w:r>
    </w:p>
    <w:tbl>
      <w:tblPr>
        <w:tblW w:w="6349" w:type="dxa"/>
        <w:jc w:val="left"/>
        <w:tblInd w:w="0" w:type="dxa"/>
        <w:tblLayout w:type="fixed"/>
        <w:tblCellMar>
          <w:top w:w="28" w:type="dxa"/>
          <w:left w:w="28" w:type="dxa"/>
          <w:bottom w:w="28" w:type="dxa"/>
          <w:right w:w="28" w:type="dxa"/>
        </w:tblCellMar>
      </w:tblPr>
      <w:tblGrid>
        <w:gridCol w:w="597"/>
        <w:gridCol w:w="525"/>
        <w:gridCol w:w="527"/>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Costs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costs, net</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 maturity analysis of the Company’s operating lease liabilities on an annual basis for each of the next five years and total amounts thereafter (dollars in thousands):</w:t>
      </w:r>
    </w:p>
    <w:tbl>
      <w:tblPr>
        <w:tblW w:w="5547" w:type="dxa"/>
        <w:jc w:val="left"/>
        <w:tblInd w:w="0" w:type="dxa"/>
        <w:tblLayout w:type="fixed"/>
        <w:tblCellMar>
          <w:top w:w="28" w:type="dxa"/>
          <w:left w:w="28" w:type="dxa"/>
          <w:bottom w:w="28" w:type="dxa"/>
          <w:right w:w="28" w:type="dxa"/>
        </w:tblCellMar>
      </w:tblPr>
      <w:tblGrid>
        <w:gridCol w:w="1377"/>
        <w:gridCol w:w="1214"/>
        <w:gridCol w:w="1219"/>
        <w:gridCol w:w="109"/>
        <w:gridCol w:w="109"/>
        <w:gridCol w:w="109"/>
        <w:gridCol w:w="277"/>
        <w:gridCol w:w="915"/>
        <w:gridCol w:w="218"/>
      </w:tblGrid>
      <w:tr>
        <w:trPr/>
        <w:tc>
          <w:tcPr>
            <w:tcW w:w="137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26,977 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net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Amount represents the remaining six months of year.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Leases in which the Company is determined to be the lessor are considered operating leases and consist of the partial lease of Company owned buildings. In accordance with ASC 842, these leases have been accounted for as operating leases. The Company recognized $49 thousand and $0.1 million, respectively, of lease income during the three months ended June 30, 2026 and 2025. During the six months ended June 30, 2026 and June 30, 2025, the Company recognized $0.1 million of lease income.</w:t>
      </w:r>
    </w:p>
    <w:p>
      <w:pPr>
        <w:pStyle w:val="TextBody"/>
        <w:bidi w:val="0"/>
        <w:spacing w:lineRule="auto" w:line="288" w:before="0" w:after="120"/>
        <w:jc w:val="both"/>
        <w:rPr/>
      </w:pPr>
      <w:r>
        <w:rPr>
          <w:rFonts w:ascii="Times New Roman;serif" w:hAnsi="Times New Roman;serif"/>
          <w:b w:val="false"/>
          <w:color w:val="000000"/>
          <w:sz w:val="20"/>
        </w:rPr>
        <w:t>The following presents a maturity analysis of the Company's lease payments to be received on an annual basis for each of the next five years and total amounts thereafter (dollars in thousands):</w:t>
      </w:r>
      <w:r>
        <w:rPr>
          <w:color w:val="000000"/>
        </w:rPr>
        <w:t xml:space="preserve"> </w:t>
      </w:r>
    </w:p>
    <w:tbl>
      <w:tblPr>
        <w:tblW w:w="5366" w:type="dxa"/>
        <w:jc w:val="left"/>
        <w:tblInd w:w="0" w:type="dxa"/>
        <w:tblLayout w:type="fixed"/>
        <w:tblCellMar>
          <w:top w:w="28" w:type="dxa"/>
          <w:left w:w="28" w:type="dxa"/>
          <w:bottom w:w="28" w:type="dxa"/>
          <w:right w:w="28" w:type="dxa"/>
        </w:tblCellMar>
      </w:tblPr>
      <w:tblGrid>
        <w:gridCol w:w="1128"/>
        <w:gridCol w:w="994"/>
        <w:gridCol w:w="998"/>
        <w:gridCol w:w="109"/>
        <w:gridCol w:w="109"/>
        <w:gridCol w:w="109"/>
        <w:gridCol w:w="487"/>
        <w:gridCol w:w="1047"/>
        <w:gridCol w:w="385"/>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Undiscounted </w:t>
              <w:br/>
              <w:t>Operating Lease Income</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undiscounted operating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3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Amount represents the remaining six months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6 – DEPOSITS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Interest-bearing deposits as of the dates noted:</w:t>
      </w:r>
    </w:p>
    <w:tbl>
      <w:tblPr>
        <w:tblW w:w="5873" w:type="dxa"/>
        <w:jc w:val="left"/>
        <w:tblInd w:w="0" w:type="dxa"/>
        <w:tblLayout w:type="fixed"/>
        <w:tblCellMar>
          <w:top w:w="28" w:type="dxa"/>
          <w:left w:w="28" w:type="dxa"/>
          <w:bottom w:w="28" w:type="dxa"/>
          <w:right w:w="28" w:type="dxa"/>
        </w:tblCellMar>
      </w:tblPr>
      <w:tblGrid>
        <w:gridCol w:w="1141"/>
        <w:gridCol w:w="1002"/>
        <w:gridCol w:w="1006"/>
        <w:gridCol w:w="196"/>
        <w:gridCol w:w="871"/>
        <w:gridCol w:w="109"/>
        <w:gridCol w:w="109"/>
        <w:gridCol w:w="109"/>
        <w:gridCol w:w="109"/>
        <w:gridCol w:w="196"/>
        <w:gridCol w:w="87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deposit accounts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checking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2,401,606 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time deposits of $250 or greater</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115,313 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Overdraft balances classified as loans totaled $0.1 million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scheduled maturities of all time deposits for each of the next five years and total amounts thereafter (dollars in thousands):</w:t>
      </w:r>
    </w:p>
    <w:tbl>
      <w:tblPr>
        <w:tblW w:w="3520" w:type="dxa"/>
        <w:jc w:val="left"/>
        <w:tblInd w:w="0" w:type="dxa"/>
        <w:tblLayout w:type="fixed"/>
        <w:tblCellMar>
          <w:top w:w="28" w:type="dxa"/>
          <w:left w:w="28" w:type="dxa"/>
          <w:bottom w:w="28" w:type="dxa"/>
          <w:right w:w="28" w:type="dxa"/>
        </w:tblCellMar>
      </w:tblPr>
      <w:tblGrid>
        <w:gridCol w:w="737"/>
        <w:gridCol w:w="650"/>
        <w:gridCol w:w="652"/>
        <w:gridCol w:w="109"/>
        <w:gridCol w:w="109"/>
        <w:gridCol w:w="109"/>
        <w:gridCol w:w="208"/>
        <w:gridCol w:w="783"/>
        <w:gridCol w:w="163"/>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Time Deposits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2026</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218,097 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Amount represents the remaining six months of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7 – BORROWINGS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Bank has executed a blanket pledge and security agreement with the FHLB which requires certain loans and securities be pledged as collateral for any outstanding borrowings under the agreement. The collateral pledged as of June 30, 2026 and December 31, 2025 amounted to $1.46 billion and $1.45 billion, respectively. Based on this collateral and the Company’s holdings of FHLB stock, the Company was eligible to borrow an additional $576 million as of June 30,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Upon maturity, the Company renewed a three-month $50 million FHLB advance on January 2, 2026. The rate for the borrowing is adjusted daily based on the SOFR rate plus 14.0 basis points. The advance matured on April 1, 2026 and was not renewed.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maturities of FHLB borrowings (dollars in thousands):</w:t>
      </w:r>
    </w:p>
    <w:tbl>
      <w:tblPr>
        <w:tblW w:w="5063" w:type="dxa"/>
        <w:jc w:val="left"/>
        <w:tblInd w:w="0" w:type="dxa"/>
        <w:tblLayout w:type="fixed"/>
        <w:tblCellMar>
          <w:top w:w="28" w:type="dxa"/>
          <w:left w:w="28" w:type="dxa"/>
          <w:bottom w:w="28" w:type="dxa"/>
          <w:right w:w="28" w:type="dxa"/>
        </w:tblCellMar>
      </w:tblPr>
      <w:tblGrid>
        <w:gridCol w:w="424"/>
        <w:gridCol w:w="371"/>
        <w:gridCol w:w="374"/>
        <w:gridCol w:w="109"/>
        <w:gridCol w:w="109"/>
        <w:gridCol w:w="109"/>
        <w:gridCol w:w="233"/>
        <w:gridCol w:w="233"/>
        <w:gridCol w:w="356"/>
        <w:gridCol w:w="109"/>
        <w:gridCol w:w="109"/>
        <w:gridCol w:w="109"/>
        <w:gridCol w:w="196"/>
        <w:gridCol w:w="646"/>
        <w:gridCol w:w="109"/>
        <w:gridCol w:w="109"/>
        <w:gridCol w:w="109"/>
        <w:gridCol w:w="109"/>
        <w:gridCol w:w="224"/>
        <w:gridCol w:w="740"/>
        <w:gridCol w:w="176"/>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July 1, 2026</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62,332 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The borrowing has a one day, automatic daily renewal maturity date, subject to FHLB discretion not to renew.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bolster the effectiveness of the SBA’s PPP, the Federal Reserve supplied liquidity to participating financial institutions through term financing collateralized by PPP loans to small businesses. The Paycheck Protection Program Liquidity Facility (PPPLF) extended credit to eligible financial institutions that originated PPP loans, taking the loans as collateral at face value and bearing interest at 35 basis points. The terms of the loans are directly tied to the underlying PPP loans, which were originated at 2 or 5 years. As of June 30, 2026 and December 31, 2025, $0.0 million and $0.5 million, respectively, was outstanding under the PPPLF program, which is included in the FHLB and Federal Reserve borrowings line of the Condensed Consolidated Balance Sheets.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Bank has borrowing capacity associated with two unsecured federal funds lines of credit up to $10.0 million and $19.0 million. As of June 30, 2026 and December 31, 2025, there were no amounts outstanding on any of the federal funds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subordinated notes included in the Subordinated notes line of the Condensed Consolidated Balance Sheets as of the periods noted (dollars in thousands):</w:t>
      </w:r>
    </w:p>
    <w:tbl>
      <w:tblPr>
        <w:tblW w:w="10205" w:type="dxa"/>
        <w:jc w:val="left"/>
        <w:tblInd w:w="0" w:type="dxa"/>
        <w:tblLayout w:type="fixed"/>
        <w:tblCellMar>
          <w:top w:w="28" w:type="dxa"/>
          <w:left w:w="28" w:type="dxa"/>
          <w:bottom w:w="28" w:type="dxa"/>
          <w:right w:w="28" w:type="dxa"/>
        </w:tblCellMar>
      </w:tblPr>
      <w:tblGrid>
        <w:gridCol w:w="422"/>
        <w:gridCol w:w="295"/>
        <w:gridCol w:w="292"/>
        <w:gridCol w:w="893"/>
        <w:gridCol w:w="815"/>
        <w:gridCol w:w="819"/>
        <w:gridCol w:w="599"/>
        <w:gridCol w:w="599"/>
        <w:gridCol w:w="574"/>
        <w:gridCol w:w="271"/>
        <w:gridCol w:w="271"/>
        <w:gridCol w:w="273"/>
        <w:gridCol w:w="216"/>
        <w:gridCol w:w="715"/>
        <w:gridCol w:w="120"/>
        <w:gridCol w:w="315"/>
        <w:gridCol w:w="678"/>
        <w:gridCol w:w="175"/>
        <w:gridCol w:w="364"/>
        <w:gridCol w:w="1202"/>
        <w:gridCol w:w="297"/>
      </w:tblGrid>
      <w:tr>
        <w:trPr/>
        <w:tc>
          <w:tcPr>
            <w:tcW w:w="4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Issuance Date</w:t>
            </w:r>
          </w:p>
        </w:tc>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Stated Rate</w:t>
            </w:r>
          </w:p>
        </w:tc>
        <w:tc>
          <w:tcPr>
            <w:tcW w:w="17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Paid</w:t>
            </w:r>
          </w:p>
        </w:tc>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Initial Debt Issuance Costs</w:t>
            </w:r>
          </w:p>
        </w:tc>
        <w:tc>
          <w:tcPr>
            <w:tcW w:w="186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Remaining Net Balance as of June 30, 2026</w:t>
            </w:r>
            <w:r>
              <w:rPr>
                <w:color w:val="000000"/>
              </w:rPr>
              <w:t xml:space="preserve"> </w:t>
            </w:r>
            <w:r>
              <w:rPr>
                <w:rFonts w:ascii="Times New Roman;serif" w:hAnsi="Times New Roman;serif"/>
                <w:b/>
                <w:color w:val="000000"/>
                <w:sz w:val="10"/>
              </w:rPr>
              <w:t>(1)</w:t>
            </w:r>
          </w:p>
        </w:tc>
      </w:tr>
      <w:tr>
        <w:trPr/>
        <w:tc>
          <w:tcPr>
            <w:tcW w:w="1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2020</w:t>
            </w:r>
          </w:p>
        </w:tc>
        <w:tc>
          <w:tcPr>
            <w:tcW w:w="25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SOFR plus 402 basis points until maturity</w:t>
            </w:r>
          </w:p>
        </w:tc>
        <w:tc>
          <w:tcPr>
            <w:tcW w:w="1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Quarterly</w:t>
            </w:r>
          </w:p>
        </w:tc>
        <w:tc>
          <w:tcPr>
            <w:tcW w:w="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12/1/2030</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2021</w:t>
            </w:r>
          </w:p>
        </w:tc>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3.25% per annum until 9/1/2026, then SOFR plus 258 basis points until maturity</w:t>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Semi-annual (Quarterly beginning 09/01/26)</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9/1/2031</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2022</w:t>
            </w:r>
          </w:p>
        </w:tc>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7.00% per annum until 12/15/2027, then SOFR plus 328 basis points until maturity</w:t>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Semi-annual (Quarterly beginning 12/15/27)</w:t>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12/15/2032</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Remaining net balance includes amortization of debt issuance costs.</w:t>
      </w:r>
    </w:p>
    <w:p>
      <w:pPr>
        <w:pStyle w:val="TextBody"/>
        <w:bidi w:val="0"/>
        <w:spacing w:lineRule="auto" w:line="288" w:before="0" w:after="120"/>
        <w:jc w:val="both"/>
        <w:rPr/>
      </w:pPr>
      <w:r>
        <w:rPr>
          <w:rFonts w:ascii="Times New Roman;serif" w:hAnsi="Times New Roman;serif"/>
          <w:b w:val="false"/>
          <w:color w:val="000000"/>
          <w:sz w:val="20"/>
        </w:rPr>
        <w:t>In 2025, a subordinated note with a carrying value of $8.0 million became eligible and was redeemed. For the three months ended June 30, 2026 and 2025, the Company recorded $0.7 million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0"/>
        </w:rPr>
        <w:t>$0.6 million, respectively, of interest expense related to the collective subordinated notes. For the six months ended June 30, 2026 and 2025, the Company recorded $1.3 million of interest expense related to the collective subordinated notes. The subordinated notes are included in Tier 2 capital under current regulatory guidelines and interpretations, subject to limitations.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borrowing facilities include various financial and other covenants, including, but not limited to, a requirement that the Bank maintains regulatory capital that is deemed "well capitalized" by federal banking agencies. See Note 16 – Regulatory Capital Matters for additional information. As of June 30, 2026 and December 31, 2025, the Company was in compliance with the covenant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8 – COMMITMENTS AND CONTINGENCIES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party to credit-related financial instruments with off-balance sheet risk in the normal course of business to meet the financing needs of its clients. These financial instruments include commitments to extend credit. Such commitments involve, to varying degrees, elements of credit and interest rate risk in excess of the amount recognized in the Condensed Consolidated Balance Sheets. Commitments may expire without being utilized. The Company’s exposure to credit loss is represented by the contractual amount of these commitments, although material losses are not anticipated. The Company follows the same credit policies in making commitments as it does for on-balance sheet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financial instruments whose contract amounts represent credit risk, as of the dates noted:</w:t>
      </w:r>
    </w:p>
    <w:tbl>
      <w:tblPr>
        <w:tblW w:w="7772" w:type="dxa"/>
        <w:jc w:val="left"/>
        <w:tblInd w:w="0" w:type="dxa"/>
        <w:tblLayout w:type="fixed"/>
        <w:tblCellMar>
          <w:top w:w="28" w:type="dxa"/>
          <w:left w:w="28" w:type="dxa"/>
          <w:bottom w:w="28" w:type="dxa"/>
          <w:right w:w="28" w:type="dxa"/>
        </w:tblCellMar>
      </w:tblPr>
      <w:tblGrid>
        <w:gridCol w:w="939"/>
        <w:gridCol w:w="826"/>
        <w:gridCol w:w="829"/>
        <w:gridCol w:w="196"/>
        <w:gridCol w:w="646"/>
        <w:gridCol w:w="109"/>
        <w:gridCol w:w="109"/>
        <w:gridCol w:w="109"/>
        <w:gridCol w:w="109"/>
        <w:gridCol w:w="212"/>
        <w:gridCol w:w="796"/>
        <w:gridCol w:w="117"/>
        <w:gridCol w:w="109"/>
        <w:gridCol w:w="109"/>
        <w:gridCol w:w="109"/>
        <w:gridCol w:w="196"/>
        <w:gridCol w:w="646"/>
        <w:gridCol w:w="109"/>
        <w:gridCol w:w="109"/>
        <w:gridCol w:w="109"/>
        <w:gridCol w:w="109"/>
        <w:gridCol w:w="211"/>
        <w:gridCol w:w="793"/>
        <w:gridCol w:w="16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Variable Rate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Unused lines of credit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506,809 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make loans to sell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make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Unused lines of credit are agreements to lend to a client as long as there is no violation of any condition established in the contract. Commitments generally have fixed expiration dates or other termination clauses and may require payment of a fee. Several of the commitments may expire without being drawn upon. Therefore, the total commitment amounts do not necessarily represent future cash requirements. The amount of collateral obtained, if it is deemed necessary by the Company, is based on management’s credit evaluation of the client.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Standby letters of credit are conditional commitments issued by the Company to guarantee the performance of a client’s obligation to a third party. Those letters of credit are primarily issued to support public and private borrowing arrangements. Substantially all letters of credit issued have expiration dates within one year. The credit risk involved in issuing letters of credit is essentially the same as that involved in extending loan facilities to clients. The Company holds collateral supporting those commitments if deemed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Commitments to make loans to sell are agreements to lend to a client which would then be sold to an investor in the secondary market for which the interest rate has been locked with the client, provided there is no violation of any condition within the contract with either party. Commitments to make loans to sell have fixed interest rates. Since commitments may expire without being extended, total commitment amounts may not necessarily represent cash requirements.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Commitments to make loans are agreements to lend to a client, provided there is no violation of any condition within the contract. Commitments to make loans generally have fixed expiration dates or other termination clauses. Since commitments may expire without being extended, total commitment amounts may not necessarily represent cash requirements.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on Off-Balance Sheet Credit Exposures</w:t>
      </w:r>
    </w:p>
    <w:p>
      <w:pPr>
        <w:pStyle w:val="TextBody"/>
        <w:bidi w:val="0"/>
        <w:spacing w:lineRule="auto" w:line="288" w:before="0" w:after="120"/>
        <w:jc w:val="both"/>
        <w:rPr/>
      </w:pPr>
      <w:r>
        <w:rPr>
          <w:rFonts w:ascii="Times New Roman;serif" w:hAnsi="Times New Roman;serif"/>
          <w:b w:val="false"/>
          <w:color w:val="000000"/>
          <w:sz w:val="20"/>
        </w:rPr>
        <w:t xml:space="preserve">To estimate the ACL on unfunded loan commitments that are not unconditionally cancellable, the Company determines the probability of funding based on historical utilization statistics for unfunded loan commitments. Loss rates are calculated using the same assumptions as the associated funded balance. Refer to Note 3 </w:t>
      </w:r>
      <w:r>
        <w:rPr>
          <w:color w:val="000000"/>
        </w:rPr>
        <w:t xml:space="preserve">– </w:t>
      </w:r>
      <w:r>
        <w:rPr>
          <w:rFonts w:ascii="Times New Roman;serif" w:hAnsi="Times New Roman;serif"/>
          <w:b w:val="false"/>
          <w:color w:val="000000"/>
          <w:sz w:val="20"/>
        </w:rPr>
        <w:t xml:space="preserve">Loans and the Allowance for Credit Losses for changes in the factors that influenced the current estimate of ACL and reasons for the changes. The following presents the changes in the ACL for unfunded loan commitments: </w:t>
      </w:r>
    </w:p>
    <w:tbl>
      <w:tblPr>
        <w:tblW w:w="7890"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Litigation, Claims and Settlements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various legal actions arising in the normal course of business. While the ultimate outcome of any such proceedings cannot be predicted with certainty, it is the opinion of management, based on advice from legal counsel, that no proceedings exist, either individually or in the aggregate, which, if determined adversely to the Company, would have a material effect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 SHAREHOLDERS’ EQUITY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common stock has no par value and each holder of common stock is entitled to one vote for each share held (though certain voting restrictions may exist on non-vested restricted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April 22, 2026, the Company authorized the repurchase of up to $5,000,000 of the Company’s common stock, no par value, from time to time (the 2026 Repurchase Plan). On April 29, 2026, the Board of Governors of the Federal Reserve System advised the Company that it had no objection to the Company’s 2026 Repurchase Plan. The 2026 Repurchase Plan is effective for one year beginning June 12, 2026, the date the prior repurchase plan expired.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repurchase shares in privately negotiated transactions, in the open market, including pursuant to any trading plan that may be adopted in accordance with Rule 10b5-1 promulgated by the SEC, or otherwise in a manner that complies with applicable federal securities laws. The 2026 Repurchase Plan does not obligate the Company to acquire a specific dollar amount or number of shares and it may be extended, modified or discontinued at any time without notice. During the six months ended June 30, 2026, the Company repurchased 6,123 shares. During the year ended December 31, 2025, the Company repurchased 40,333 shares. As of June 30, 2026, there was $5,000,000 value of shares available for repurchase under the 2026 Repurchase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Stock-Based Compensation Plans</w:t>
      </w:r>
    </w:p>
    <w:p>
      <w:pPr>
        <w:pStyle w:val="TextBody"/>
        <w:bidi w:val="0"/>
        <w:spacing w:lineRule="auto" w:line="288" w:before="0" w:after="120"/>
        <w:jc w:val="both"/>
        <w:rPr/>
      </w:pPr>
      <w:r>
        <w:rPr>
          <w:rFonts w:ascii="Times New Roman;serif" w:hAnsi="Times New Roman;serif"/>
          <w:b w:val="false"/>
          <w:color w:val="000000"/>
          <w:sz w:val="20"/>
        </w:rPr>
        <w:t>The 2008 Stock Incentive Plan (the 2008 Plan) was frozen in connection with the adoption of First Western Financial, Inc. 2016 Omnibus Incentive Plan (the 2016 Plan) and no new awards may be granted under the 2008 Plan. Remaining shares not issued under the 2008 Plan were authorized to be issued under the</w:t>
      </w:r>
      <w:r>
        <w:rPr>
          <w:color w:val="000000"/>
          <w:shd w:fill="FFFFFF" w:val="clear"/>
        </w:rPr>
        <w:t xml:space="preserve"> </w:t>
      </w:r>
      <w:r>
        <w:rPr>
          <w:rFonts w:ascii="Times New Roman;serif" w:hAnsi="Times New Roman;serif"/>
          <w:b w:val="false"/>
          <w:color w:val="000000"/>
          <w:sz w:val="20"/>
          <w:shd w:fill="FFFFFF" w:val="clear"/>
        </w:rPr>
        <w:t xml:space="preserve">2016 Plan. Effective June 4, 2025, the Company’s stockholders approved the First Western Financial, Inc. Omnibus Incentive Plan, as amended and restated April 23, 2025 (the Omnibus Plan), which included an increase of </w:t>
      </w:r>
      <w:r>
        <w:rPr>
          <w:rFonts w:ascii="Times New Roman;serif" w:hAnsi="Times New Roman;serif"/>
          <w:b w:val="false"/>
          <w:color w:val="000000"/>
          <w:sz w:val="20"/>
        </w:rPr>
        <w:t>150,000 shares to the Omnibus Plan’s share reserve. The Omnibus Plan is a continuation, and amendment and restatement, of the 2016 Plan</w:t>
      </w:r>
      <w:r>
        <w:rPr>
          <w:rFonts w:ascii="Times New Roman;serif" w:hAnsi="Times New Roman;serif"/>
          <w:b w:val="false"/>
          <w:color w:val="000000"/>
          <w:sz w:val="20"/>
          <w:shd w:fill="FFFFFF" w:val="clear"/>
        </w:rPr>
        <w:t xml:space="preserve">. As of June 30, 2026, there were a total of </w:t>
      </w:r>
      <w:r>
        <w:rPr>
          <w:rFonts w:ascii="Times New Roman;serif" w:hAnsi="Times New Roman;serif"/>
          <w:b w:val="false"/>
          <w:color w:val="000000"/>
          <w:sz w:val="20"/>
        </w:rPr>
        <w:t>410,425</w:t>
      </w:r>
      <w:r>
        <w:rPr>
          <w:color w:val="000000"/>
          <w:shd w:fill="FFFFFF" w:val="clear"/>
        </w:rPr>
        <w:t xml:space="preserve"> </w:t>
      </w:r>
      <w:r>
        <w:rPr>
          <w:rFonts w:ascii="Times New Roman;serif" w:hAnsi="Times New Roman;serif"/>
          <w:b w:val="false"/>
          <w:color w:val="000000"/>
          <w:sz w:val="20"/>
          <w:shd w:fill="FFFFFF" w:val="clear"/>
        </w:rPr>
        <w:t xml:space="preserve">shares available for issuance under the Omnibus Plan. </w:t>
      </w:r>
      <w:r>
        <w:rPr>
          <w:rFonts w:ascii="Times New Roman;serif" w:hAnsi="Times New Roman;serif"/>
          <w:b w:val="false"/>
          <w:color w:val="000000"/>
          <w:sz w:val="20"/>
        </w:rPr>
        <w:t>To the extent that an award granted under the Omnibus Plan is canceled, expired, forfeited, surrendered, settled by delivery of fewer shares than the number underlying the award, settled in cash or otherwise terminated without delivery of the shares to the participant, the shares retained by or returned to the Company will not be deemed to have been delivered under the Omnibus Plan, and will be available for future awards under the Omnibus Plan</w:t>
      </w:r>
      <w:r>
        <w:rPr>
          <w:rFonts w:ascii="Times New Roman;serif" w:hAnsi="Times New Roman;serif"/>
          <w:b w:val="false"/>
          <w:color w:val="000000"/>
          <w:sz w:val="20"/>
          <w:shd w:fill="FFFFFF" w:val="clear"/>
        </w:rPr>
        <w:t>, subject to a maximum of 1,500,000 shares.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grant any stock options during the six months ended June 30, 2026 and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recognized no stock based compensation expense associated with stock options. As of June 30, 2026, the Company has no unrecognized stock-based compensation expense related to stock options.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activity for nonqualified stock options during the six months ended June 30, 2026:</w:t>
      </w:r>
    </w:p>
    <w:tbl>
      <w:tblPr>
        <w:tblW w:w="10205" w:type="dxa"/>
        <w:jc w:val="left"/>
        <w:tblInd w:w="0" w:type="dxa"/>
        <w:tblLayout w:type="fixed"/>
        <w:tblCellMar>
          <w:top w:w="28" w:type="dxa"/>
          <w:left w:w="28" w:type="dxa"/>
          <w:bottom w:w="28" w:type="dxa"/>
          <w:right w:w="28" w:type="dxa"/>
        </w:tblCellMar>
      </w:tblPr>
      <w:tblGrid>
        <w:gridCol w:w="905"/>
        <w:gridCol w:w="794"/>
        <w:gridCol w:w="799"/>
        <w:gridCol w:w="422"/>
        <w:gridCol w:w="368"/>
        <w:gridCol w:w="370"/>
        <w:gridCol w:w="109"/>
        <w:gridCol w:w="109"/>
        <w:gridCol w:w="109"/>
        <w:gridCol w:w="390"/>
        <w:gridCol w:w="1108"/>
        <w:gridCol w:w="217"/>
        <w:gridCol w:w="109"/>
        <w:gridCol w:w="109"/>
        <w:gridCol w:w="109"/>
        <w:gridCol w:w="785"/>
        <w:gridCol w:w="785"/>
        <w:gridCol w:w="787"/>
        <w:gridCol w:w="109"/>
        <w:gridCol w:w="109"/>
        <w:gridCol w:w="109"/>
        <w:gridCol w:w="230"/>
        <w:gridCol w:w="230"/>
        <w:gridCol w:w="230"/>
        <w:gridCol w:w="230"/>
        <w:gridCol w:w="230"/>
        <w:gridCol w:w="344"/>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or expired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2026</w:t>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 fully vested / exercisable as of June 30, 2026</w:t>
            </w:r>
          </w:p>
        </w:tc>
        <w:tc>
          <w:tcPr>
            <w:tcW w:w="116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Nonqualified stock options outstanding at the end of the period and those fully vested/exercisable had immaterial aggregate intrinsic values.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15,744 options that were exercisable. The exercise price for all exercisable options is $27.00 per share, and the options are exercisable for a period of ten years from the original grant date and expire in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20"/>
        <w:jc w:val="both"/>
        <w:rPr/>
      </w:pPr>
      <w:r>
        <w:rPr>
          <w:rFonts w:ascii="Times New Roman;serif" w:hAnsi="Times New Roman;serif"/>
          <w:b w:val="false"/>
          <w:color w:val="000000"/>
          <w:sz w:val="20"/>
        </w:rPr>
        <w:t>Pursuant t</w:t>
      </w:r>
      <w:r>
        <w:rPr>
          <w:rFonts w:ascii="Times New Roman;serif" w:hAnsi="Times New Roman;serif"/>
          <w:b w:val="false"/>
          <w:color w:val="000000"/>
          <w:sz w:val="20"/>
          <w:shd w:fill="FFFFFF" w:val="clear"/>
        </w:rPr>
        <w:t>o the Omnibus Plan, the C</w:t>
      </w:r>
      <w:r>
        <w:rPr>
          <w:rFonts w:ascii="Times New Roman;serif" w:hAnsi="Times New Roman;serif"/>
          <w:b w:val="false"/>
          <w:color w:val="000000"/>
          <w:sz w:val="20"/>
        </w:rPr>
        <w:t xml:space="preserve">ompany may grant associates and non-associate directors long-term cash and stock-based compensation. Historically, the Company has granted certain associates restricted stock units which are earned over time or based on various performance measures and convert to common stock upon vesting, which are summarized here and expanded further 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activity for the Time Vesting Units and the Financial Performance Units during the six months ended June 30, 2026:</w:t>
      </w:r>
    </w:p>
    <w:tbl>
      <w:tblPr>
        <w:tblW w:w="5179" w:type="dxa"/>
        <w:jc w:val="left"/>
        <w:tblInd w:w="0" w:type="dxa"/>
        <w:tblLayout w:type="fixed"/>
        <w:tblCellMar>
          <w:top w:w="28" w:type="dxa"/>
          <w:left w:w="28" w:type="dxa"/>
          <w:bottom w:w="28" w:type="dxa"/>
          <w:right w:w="28" w:type="dxa"/>
        </w:tblCellMar>
      </w:tblPr>
      <w:tblGrid>
        <w:gridCol w:w="1021"/>
        <w:gridCol w:w="896"/>
        <w:gridCol w:w="902"/>
        <w:gridCol w:w="238"/>
        <w:gridCol w:w="238"/>
        <w:gridCol w:w="243"/>
        <w:gridCol w:w="109"/>
        <w:gridCol w:w="109"/>
        <w:gridCol w:w="109"/>
        <w:gridCol w:w="350"/>
        <w:gridCol w:w="350"/>
        <w:gridCol w:w="351"/>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Time</w:t>
              <w:br/>
              <w:t xml:space="preserve">Vesting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w:t>
              <w:br/>
              <w:t>Performance</w:t>
              <w:br/>
              <w:t>Units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173,456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Forfeited </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2026</w:t>
            </w:r>
          </w:p>
        </w:tc>
        <w:tc>
          <w:tcPr>
            <w:tcW w:w="7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issued 36,161 net shares of common stock upon the settlement of Restricted Stock Units. The remaining 12,840 shares, with a combined market value at the dates of settlement of $0.4 million, were withheld to cover employee withholding taxes. During the three months ended June 30, 2025, the Company issued 39,889 net shares of common stock upon the settlement of Restricted Stock Units. The remaining 13,705 shares, with a combined market value at the dates of settlement of $0.3 million, were withheld to cover employee withholding taxes and were subsequently added back to the Company’s pool of shares available for issuance.</w:t>
      </w:r>
    </w:p>
    <w:p>
      <w:pPr>
        <w:pStyle w:val="TextBody"/>
        <w:bidi w:val="0"/>
        <w:spacing w:lineRule="auto" w:line="288" w:before="0" w:after="120"/>
        <w:jc w:val="both"/>
        <w:rPr/>
      </w:pPr>
      <w:r>
        <w:rPr>
          <w:rFonts w:ascii="Times New Roman;serif" w:hAnsi="Times New Roman;serif"/>
          <w:b w:val="false"/>
          <w:color w:val="000000"/>
          <w:sz w:val="20"/>
        </w:rPr>
        <w:t xml:space="preserve">During the six months ended June 30, 2026, the Company issued 45,521 net shares of common stock upon the settlement of Restricted Stock Units. The remaining 17,575 shares, with a combined market value at the dates of settlement of $0.5 million, </w:t>
      </w:r>
      <w:r>
        <w:rPr>
          <w:rFonts w:ascii="Times New Roman;serif" w:hAnsi="Times New Roman;serif"/>
          <w:b w:val="false"/>
          <w:color w:val="000000"/>
          <w:sz w:val="20"/>
          <w:shd w:fill="FFFFFF" w:val="clear"/>
        </w:rPr>
        <w:t>were withheld to cover employee withholding taxes</w:t>
      </w:r>
      <w:r>
        <w:rPr>
          <w:rFonts w:ascii="Times New Roman;serif" w:hAnsi="Times New Roman;serif"/>
          <w:b w:val="false"/>
          <w:color w:val="000000"/>
          <w:sz w:val="20"/>
        </w:rPr>
        <w:t>. During the six months ended June 30, 2025, the Company issued 77,167 net shares of common stock upon the settlement of Restricted Stock Units. The remaining 31,044 shares, with a combined market value at the dates of settlement of $0.6 million, were withheld to cover employee withholding taxes and were subsequently added back to the Company’s pool of shares available for issuance.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Time Vesting Units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Time Vesting Units are granted to full-time associates and members of the Board of Directors at the date approved by the Company’s Board of Directors. The Company granted 51,821 and 69,874 Time Vesting Units during the six months ended June 30, 2026 and 2025, respectively. During the three months ended June 30, 2026 and 2025, the Company recognized compensation expense of $0.3 million and $0.4 million, respectively, for the Time Vesting Units. During the six months ended June 30, 2026 and 2025, the Company recognized compensation expense of $0.6 million and $0.7 million, respectively, for the Time Vesting Units. As of June 30, 2026, there was $3.8 million of unrecognized compensation expense related to the Time Vesting Units, which is expected to be recognized over a weighted-average period of 3.6 years.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Performance Units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Performance Units are granted to certain key associates and are earned based on the Company achieving various financial performance metrics. If the Company achieves the financial metrics, which include various thresholds from 0% up to 600%, then the Financial Performance Units will have a subsequent vesting period.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existing Financial Performance Units as of June 30, 2026 (dollars in thousands, except share amounts):</w:t>
      </w:r>
    </w:p>
    <w:tbl>
      <w:tblPr>
        <w:tblW w:w="10205" w:type="dxa"/>
        <w:jc w:val="left"/>
        <w:tblInd w:w="0" w:type="dxa"/>
        <w:tblLayout w:type="fixed"/>
        <w:tblCellMar>
          <w:top w:w="28" w:type="dxa"/>
          <w:left w:w="28" w:type="dxa"/>
          <w:bottom w:w="28" w:type="dxa"/>
          <w:right w:w="28" w:type="dxa"/>
        </w:tblCellMar>
      </w:tblPr>
      <w:tblGrid>
        <w:gridCol w:w="347"/>
        <w:gridCol w:w="241"/>
        <w:gridCol w:w="242"/>
        <w:gridCol w:w="109"/>
        <w:gridCol w:w="109"/>
        <w:gridCol w:w="109"/>
        <w:gridCol w:w="229"/>
        <w:gridCol w:w="229"/>
        <w:gridCol w:w="541"/>
        <w:gridCol w:w="109"/>
        <w:gridCol w:w="109"/>
        <w:gridCol w:w="109"/>
        <w:gridCol w:w="338"/>
        <w:gridCol w:w="338"/>
        <w:gridCol w:w="339"/>
        <w:gridCol w:w="109"/>
        <w:gridCol w:w="109"/>
        <w:gridCol w:w="109"/>
        <w:gridCol w:w="367"/>
        <w:gridCol w:w="789"/>
        <w:gridCol w:w="205"/>
        <w:gridCol w:w="109"/>
        <w:gridCol w:w="109"/>
        <w:gridCol w:w="109"/>
        <w:gridCol w:w="571"/>
        <w:gridCol w:w="571"/>
        <w:gridCol w:w="572"/>
        <w:gridCol w:w="109"/>
        <w:gridCol w:w="109"/>
        <w:gridCol w:w="109"/>
        <w:gridCol w:w="323"/>
        <w:gridCol w:w="323"/>
        <w:gridCol w:w="324"/>
        <w:gridCol w:w="109"/>
        <w:gridCol w:w="109"/>
        <w:gridCol w:w="109"/>
        <w:gridCol w:w="394"/>
        <w:gridCol w:w="394"/>
        <w:gridCol w:w="566"/>
      </w:tblGrid>
      <w:tr>
        <w:trPr/>
        <w:tc>
          <w:tcPr>
            <w:tcW w:w="3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Issuable</w:t>
              <w:br/>
              <w:t>Shares at Current</w:t>
              <w:br/>
              <w:t>Threshold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Unrecognized Compensation</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Weighted-Average Life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Financial Metric 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Vesting Requirement End Date</w:t>
            </w:r>
          </w:p>
        </w:tc>
      </w:tr>
      <w:tr>
        <w:trPr/>
        <w:tc>
          <w:tcPr>
            <w:tcW w:w="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May 1, 2024</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2028</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March 17, 2025</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2027</w:t>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May 1, 2025</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2029</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June 4, 2025 &amp; March 2, 2026</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2025, 2026 &amp;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2026, 2027, June 4, 2030 &amp; March 2, 2031</w:t>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March 2, 2026</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2028</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May 1, 2026</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31, 2030</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Represents the expected unrecognized stock-based compensation expense recognition period.</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Conditioned upon pre-established three-year Operating EPS goals.</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Conditioned on the Company's three-year annualized total shareholder return compared to the SPDR S&amp;P Regional Banking ETF.</w:t>
      </w:r>
    </w:p>
    <w:p>
      <w:pPr>
        <w:pStyle w:val="TextBody"/>
        <w:bidi w:val="0"/>
        <w:spacing w:lineRule="auto" w:line="288" w:before="0" w:after="120"/>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Conditioned upon pre-established Operating EPS hurdles measured over the course of each fiscal year in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Company’s Financial Performance Units activity for the periods noted (dollars in thousands, except share amounts):</w:t>
      </w:r>
    </w:p>
    <w:tbl>
      <w:tblPr>
        <w:tblW w:w="10205" w:type="dxa"/>
        <w:jc w:val="left"/>
        <w:tblInd w:w="0" w:type="dxa"/>
        <w:tblLayout w:type="fixed"/>
        <w:tblCellMar>
          <w:top w:w="28" w:type="dxa"/>
          <w:left w:w="28" w:type="dxa"/>
          <w:bottom w:w="28" w:type="dxa"/>
          <w:right w:w="28" w:type="dxa"/>
        </w:tblCellMar>
      </w:tblPr>
      <w:tblGrid>
        <w:gridCol w:w="1014"/>
        <w:gridCol w:w="893"/>
        <w:gridCol w:w="900"/>
        <w:gridCol w:w="109"/>
        <w:gridCol w:w="109"/>
        <w:gridCol w:w="109"/>
        <w:gridCol w:w="230"/>
        <w:gridCol w:w="230"/>
        <w:gridCol w:w="228"/>
        <w:gridCol w:w="228"/>
        <w:gridCol w:w="228"/>
        <w:gridCol w:w="228"/>
        <w:gridCol w:w="230"/>
        <w:gridCol w:w="230"/>
        <w:gridCol w:w="228"/>
        <w:gridCol w:w="109"/>
        <w:gridCol w:w="109"/>
        <w:gridCol w:w="109"/>
        <w:gridCol w:w="251"/>
        <w:gridCol w:w="249"/>
        <w:gridCol w:w="249"/>
        <w:gridCol w:w="249"/>
        <w:gridCol w:w="249"/>
        <w:gridCol w:w="249"/>
        <w:gridCol w:w="251"/>
        <w:gridCol w:w="249"/>
        <w:gridCol w:w="249"/>
        <w:gridCol w:w="109"/>
        <w:gridCol w:w="109"/>
        <w:gridCol w:w="109"/>
        <w:gridCol w:w="240"/>
        <w:gridCol w:w="497"/>
        <w:gridCol w:w="133"/>
        <w:gridCol w:w="133"/>
        <w:gridCol w:w="133"/>
        <w:gridCol w:w="133"/>
        <w:gridCol w:w="240"/>
        <w:gridCol w:w="405"/>
        <w:gridCol w:w="198"/>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 Expense Recognized</w:t>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November 18,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May 3, 2021 through August 11,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2,769</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March 17,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19,415</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June 4, 2025 &amp; March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27,556</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8,000</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On 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27,376</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10 – EARNINGS PER COMMON SHARE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calculation of basic and diluted earnings per common share during the periods presented:</w:t>
      </w:r>
    </w:p>
    <w:tbl>
      <w:tblPr>
        <w:tblW w:w="8910" w:type="dxa"/>
        <w:jc w:val="left"/>
        <w:tblInd w:w="0" w:type="dxa"/>
        <w:tblLayout w:type="fixed"/>
        <w:tblCellMar>
          <w:top w:w="28" w:type="dxa"/>
          <w:left w:w="28" w:type="dxa"/>
          <w:bottom w:w="28" w:type="dxa"/>
          <w:right w:w="28" w:type="dxa"/>
        </w:tblCellMar>
      </w:tblPr>
      <w:tblGrid>
        <w:gridCol w:w="1497"/>
        <w:gridCol w:w="1316"/>
        <w:gridCol w:w="1326"/>
        <w:gridCol w:w="216"/>
        <w:gridCol w:w="614"/>
        <w:gridCol w:w="120"/>
        <w:gridCol w:w="120"/>
        <w:gridCol w:w="120"/>
        <w:gridCol w:w="120"/>
        <w:gridCol w:w="216"/>
        <w:gridCol w:w="614"/>
        <w:gridCol w:w="120"/>
        <w:gridCol w:w="109"/>
        <w:gridCol w:w="109"/>
        <w:gridCol w:w="109"/>
        <w:gridCol w:w="196"/>
        <w:gridCol w:w="646"/>
        <w:gridCol w:w="109"/>
        <w:gridCol w:w="109"/>
        <w:gridCol w:w="109"/>
        <w:gridCol w:w="109"/>
        <w:gridCol w:w="196"/>
        <w:gridCol w:w="55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dollars in thousands, except share and per share amounts</w:t>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 - Basic</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shareholders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shares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9,760,529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9,707,924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9,706,181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 basic</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 - Diluted</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shareholders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shares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9,760,529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9,707,924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9,706,181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effect of common stock equivalents: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Time Vesting Units </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59,355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44,362</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Performance Units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128,615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53,423</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diluted effect of common stock equivalents</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188,778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97,785</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w:t>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9,949,307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9,809,321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9,920,262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9,803,966</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 diluted</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was computed without consideration to potentially dilutive instruments as their inclusion would have been anti-dilutive. The following presents potentially dilutive securities excluded from the diluted earnings per share calculation during the periods presented:</w:t>
      </w:r>
    </w:p>
    <w:tbl>
      <w:tblPr>
        <w:tblW w:w="7428" w:type="dxa"/>
        <w:jc w:val="left"/>
        <w:tblInd w:w="0" w:type="dxa"/>
        <w:tblLayout w:type="fixed"/>
        <w:tblCellMar>
          <w:top w:w="28" w:type="dxa"/>
          <w:left w:w="28" w:type="dxa"/>
          <w:bottom w:w="28" w:type="dxa"/>
          <w:right w:w="28" w:type="dxa"/>
        </w:tblCellMar>
      </w:tblPr>
      <w:tblGrid>
        <w:gridCol w:w="919"/>
        <w:gridCol w:w="804"/>
        <w:gridCol w:w="812"/>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405"/>
        <w:gridCol w:w="241"/>
        <w:gridCol w:w="317"/>
      </w:tblGrid>
      <w:tr>
        <w:trPr/>
        <w:tc>
          <w:tcPr>
            <w:tcW w:w="91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7,872</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68,728 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Vesting Units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potentially dilutive securities</w:t>
            </w:r>
          </w:p>
        </w:tc>
        <w:tc>
          <w:tcPr>
            <w:tcW w:w="75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112,952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an income tax provision of $1.7 million and $0.8 million, respectively, reflecting an effective tax rate of 22.6% and 24.5%, respectively. During the six months ended June 30, 2026 and 2025, the Company recorded an income tax provision of $3.6 million and $2.0 million, respectively, reflecting an effective tax rate of 23.0% and 22.9%,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12 – FAIR VALUE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tbl>
      <w:tblPr>
        <w:tblW w:w="10205" w:type="dxa"/>
        <w:jc w:val="left"/>
        <w:tblInd w:w="0" w:type="dxa"/>
        <w:tblLayout w:type="fixed"/>
        <w:tblCellMar>
          <w:top w:w="28" w:type="dxa"/>
          <w:left w:w="28" w:type="dxa"/>
          <w:bottom w:w="28" w:type="dxa"/>
          <w:right w:w="28" w:type="dxa"/>
        </w:tblCellMar>
      </w:tblPr>
      <w:tblGrid>
        <w:gridCol w:w="245"/>
        <w:gridCol w:w="215"/>
        <w:gridCol w:w="217"/>
        <w:gridCol w:w="2800"/>
        <w:gridCol w:w="2784"/>
        <w:gridCol w:w="3944"/>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Quoted prices (unadjusted) for identical assets or liabilities in active markets that the entity has the ability to access as of the measurement date.</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2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Significant unobservable inputs that reflect a company’s own assumptions about the assumptions that market participants would use in pricing an asset or liability.</w:t>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Recurring Fair Value</w:t>
      </w:r>
    </w:p>
    <w:p>
      <w:pPr>
        <w:pStyle w:val="TextBody"/>
        <w:bidi w:val="0"/>
        <w:spacing w:lineRule="auto" w:line="288" w:before="0" w:after="120"/>
        <w:jc w:val="both"/>
        <w:rPr/>
      </w:pPr>
      <w:r>
        <w:rPr>
          <w:rFonts w:ascii="Times New Roman;serif" w:hAnsi="Times New Roman;serif"/>
          <w:b w:val="false"/>
          <w:i/>
          <w:color w:val="000000"/>
          <w:sz w:val="20"/>
          <w:u w:val="single"/>
        </w:rPr>
        <w:t>Available-for-sale debt securities:</w:t>
      </w:r>
      <w:r>
        <w:rPr>
          <w:color w:val="000000"/>
        </w:rPr>
        <w:t xml:space="preserve"> </w:t>
      </w:r>
      <w:r>
        <w:rPr>
          <w:rFonts w:ascii="Times New Roman;serif" w:hAnsi="Times New Roman;serif"/>
          <w:b w:val="false"/>
          <w:color w:val="000000"/>
          <w:sz w:val="20"/>
        </w:rPr>
        <w:t>The fair values for AFS debt securities are determined by quoted market prices, if available (Level 1). For securities where quoted prices are not available, fair values are calculated based on market prices of similar securities (Level 2). For securities where quoted prices or market prices of similar securities are not available, fair values are calculated using discounted cash flows or other market indicators (Level 3).</w:t>
      </w:r>
    </w:p>
    <w:p>
      <w:pPr>
        <w:pStyle w:val="TextBody"/>
        <w:bidi w:val="0"/>
        <w:spacing w:lineRule="auto" w:line="288" w:before="0" w:after="120"/>
        <w:jc w:val="both"/>
        <w:rPr/>
      </w:pPr>
      <w:r>
        <w:rPr>
          <w:rFonts w:ascii="Times New Roman;serif" w:hAnsi="Times New Roman;serif"/>
          <w:b w:val="false"/>
          <w:i/>
          <w:color w:val="000000"/>
          <w:sz w:val="20"/>
          <w:u w:val="single"/>
        </w:rPr>
        <w:t>Equity Securities</w:t>
      </w:r>
      <w:r>
        <w:rPr>
          <w:rFonts w:ascii="Times New Roman;serif" w:hAnsi="Times New Roman;serif"/>
          <w:b w:val="false"/>
          <w:color w:val="000000"/>
          <w:sz w:val="20"/>
        </w:rPr>
        <w:t>: Fair value of equity securities represents the market value of mutual funds based on quoted market prices (Level 1) and the value of stock held in other companies, which is based on recent market transactions or quoted rates that are not actively traded (Level 2).</w:t>
      </w:r>
    </w:p>
    <w:p>
      <w:pPr>
        <w:pStyle w:val="TextBody"/>
        <w:bidi w:val="0"/>
        <w:spacing w:lineRule="auto" w:line="288" w:before="0" w:after="120"/>
        <w:jc w:val="both"/>
        <w:rPr/>
      </w:pPr>
      <w:r>
        <w:rPr>
          <w:rFonts w:ascii="Times New Roman;serif" w:hAnsi="Times New Roman;serif"/>
          <w:b w:val="false"/>
          <w:i/>
          <w:color w:val="000000"/>
          <w:sz w:val="20"/>
          <w:u w:val="single"/>
        </w:rPr>
        <w:t>Equity Warrants</w:t>
      </w:r>
      <w:r>
        <w:rPr>
          <w:rFonts w:ascii="Times New Roman;serif" w:hAnsi="Times New Roman;serif"/>
          <w:b w:val="false"/>
          <w:color w:val="000000"/>
          <w:sz w:val="20"/>
        </w:rPr>
        <w:t>: Fair value of equity warrants of private companies are priced using a Black-Scholes option pricing model to estimate the asset fair value by using strike prices, option expiration dates, risk-free interest rates, and option volatility assumptions (Level 3).</w:t>
      </w:r>
    </w:p>
    <w:p>
      <w:pPr>
        <w:pStyle w:val="TextBody"/>
        <w:bidi w:val="0"/>
        <w:spacing w:lineRule="auto" w:line="288" w:before="0" w:after="120"/>
        <w:jc w:val="both"/>
        <w:rPr/>
      </w:pPr>
      <w:r>
        <w:rPr>
          <w:rFonts w:ascii="Times New Roman;serif" w:hAnsi="Times New Roman;serif"/>
          <w:b w:val="false"/>
          <w:i/>
          <w:color w:val="000000"/>
          <w:sz w:val="20"/>
          <w:u w:val="single"/>
        </w:rPr>
        <w:t>Guarantee Asset and Liability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guarantee asset represents the fair value of the consideration received in exchange for the credit enhancement fee. The guarantee liability represents a financial guarantee to cover the second layer of any losses on loans sold to FHLB under the MPF 125 loan sales agreement. The guarantee liability value on day one is equivalent to the guarantee asset fair value, which is the consideration for the credit enhancement fee paid over the life of the loans. The liability is then carried at amortized cost. Significant inputs in the valuation analysis for the asset are Level 3, due to the nature of this asset and the lack of market quotes. The fair value of the guarantee asset is determined using a DCF model, for which significant unobservable inputs include assumed future prepayment rates (Conditional Prepayment Rate) and market discount rate (Level 3). An increase in prepayment rates or discount rate would generally reduce the estimated fair value of the guarantee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i/>
          <w:color w:val="000000"/>
          <w:sz w:val="20"/>
          <w:u w:val="single"/>
        </w:rPr>
        <w:t>Derivatives:</w:t>
      </w:r>
      <w:r>
        <w:rPr>
          <w:color w:val="000000"/>
        </w:rPr>
        <w:t xml:space="preserve"> </w:t>
      </w:r>
      <w:r>
        <w:rPr>
          <w:rFonts w:ascii="Times New Roman;serif" w:hAnsi="Times New Roman;serif"/>
          <w:b w:val="false"/>
          <w:color w:val="000000"/>
          <w:sz w:val="20"/>
        </w:rPr>
        <w:t>Derivatives include our swap derivatives, which are compromised of cash flow hedges, fair value hedges, and derivatives not designated as hedges. The fair values of derivatives are based on valuation models using observable market data as of the measurement date (Level 2). Our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brokers, market transactions and third-party pricing services.</w:t>
      </w:r>
    </w:p>
    <w:p>
      <w:pPr>
        <w:pStyle w:val="TextBody"/>
        <w:bidi w:val="0"/>
        <w:spacing w:lineRule="auto" w:line="288" w:before="0" w:after="120"/>
        <w:jc w:val="both"/>
        <w:rPr/>
      </w:pPr>
      <w:r>
        <w:rPr>
          <w:rFonts w:ascii="Times New Roman;serif" w:hAnsi="Times New Roman;serif"/>
          <w:b w:val="false"/>
          <w:i/>
          <w:color w:val="000000"/>
          <w:sz w:val="20"/>
          <w:u w:val="single"/>
        </w:rPr>
        <w:t>Mortgage Related Derivatives</w:t>
      </w:r>
      <w:r>
        <w:rPr>
          <w:rFonts w:ascii="Times New Roman;serif" w:hAnsi="Times New Roman;serif"/>
          <w:b w:val="false"/>
          <w:i/>
          <w:color w:val="000000"/>
          <w:sz w:val="20"/>
        </w:rPr>
        <w:t xml:space="preserve">: </w:t>
      </w:r>
      <w:r>
        <w:rPr>
          <w:rFonts w:ascii="Times New Roman;serif" w:hAnsi="Times New Roman;serif"/>
          <w:b w:val="false"/>
          <w:color w:val="000000"/>
          <w:sz w:val="20"/>
        </w:rPr>
        <w:t>Mortgage related derivatives include our IRLC, FSC, and the forward commitments on our loans held for sa</w:t>
      </w:r>
      <w:r>
        <w:rPr>
          <w:rFonts w:ascii="Times New Roman;serif" w:hAnsi="Times New Roman;serif"/>
          <w:b w:val="false"/>
          <w:color w:val="000000"/>
          <w:sz w:val="20"/>
          <w:shd w:fill="FFFFFF" w:val="clear"/>
        </w:rPr>
        <w:t>le pipeline. The fair value estimate of our IRLC is based on valuation models using market data from secondary market loan sales and direct contacts with third party investors as of the measurement date and pull through assumptions (Level 2). The FSC fair value estimate reflects the potential pair off fee associated with mandatory trades and is estimated by using a market differential and pair off penalty assessed by the investor (Level 3). Th</w:t>
      </w:r>
      <w:r>
        <w:rPr>
          <w:rFonts w:ascii="Times New Roman;serif" w:hAnsi="Times New Roman;serif"/>
          <w:b w:val="false"/>
          <w:color w:val="000000"/>
          <w:sz w:val="20"/>
        </w:rPr>
        <w:t>e fair value estimate of the forward commitments is based on market prices of similar securities to the underlying MBS (Level 2).</w:t>
      </w:r>
    </w:p>
    <w:p>
      <w:pPr>
        <w:pStyle w:val="TextBody"/>
        <w:bidi w:val="0"/>
        <w:spacing w:lineRule="auto" w:line="288" w:before="0" w:after="120"/>
        <w:jc w:val="both"/>
        <w:rPr/>
      </w:pPr>
      <w:r>
        <w:rPr>
          <w:rFonts w:ascii="Times New Roman;serif" w:hAnsi="Times New Roman;serif"/>
          <w:b w:val="false"/>
          <w:i/>
          <w:color w:val="000000"/>
          <w:sz w:val="20"/>
          <w:u w:val="single"/>
        </w:rPr>
        <w:t>Loans Held at Fair Value:</w:t>
      </w:r>
      <w:r>
        <w:rPr>
          <w:color w:val="000000"/>
        </w:rPr>
        <w:t xml:space="preserve"> </w:t>
      </w:r>
      <w:r>
        <w:rPr>
          <w:rFonts w:ascii="Times New Roman;serif" w:hAnsi="Times New Roman;serif"/>
          <w:b w:val="false"/>
          <w:color w:val="000000"/>
          <w:sz w:val="20"/>
        </w:rPr>
        <w:t>The fair value of loans held for investment are typically determined based on DCF analysis using market-based interest rate spreads. DCF analyses are adjusted, as appropriate, to reflect current market conditions and borrower specific credit risk. Due to the nature of the valuation inputs, loans held for investment are classified within Level 3 of the valuation hierarchy.</w:t>
      </w:r>
    </w:p>
    <w:p>
      <w:pPr>
        <w:pStyle w:val="TextBody"/>
        <w:bidi w:val="0"/>
        <w:spacing w:lineRule="auto" w:line="288" w:before="0" w:after="120"/>
        <w:jc w:val="both"/>
        <w:rPr/>
      </w:pPr>
      <w:r>
        <w:rPr>
          <w:rFonts w:ascii="Times New Roman;serif" w:hAnsi="Times New Roman;serif"/>
          <w:b w:val="false"/>
          <w:i/>
          <w:color w:val="000000"/>
          <w:sz w:val="20"/>
          <w:u w:val="single"/>
        </w:rPr>
        <w:t>Mortgage Loans Held for Sale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fair value of mortgage loans held for sale is estimated based upon quotes from third party investors for similar assets resulting in a Level 2 classification.</w:t>
      </w:r>
    </w:p>
    <w:p>
      <w:pPr>
        <w:pStyle w:val="TextBody"/>
        <w:bidi w:val="0"/>
        <w:spacing w:lineRule="auto" w:line="288" w:before="0" w:after="120"/>
        <w:jc w:val="both"/>
        <w:rPr/>
      </w:pPr>
      <w:r>
        <w:rPr>
          <w:rFonts w:ascii="Times New Roman;serif" w:hAnsi="Times New Roman;serif"/>
          <w:b w:val="false"/>
          <w:i/>
          <w:color w:val="000000"/>
          <w:sz w:val="20"/>
          <w:u w:val="single"/>
        </w:rPr>
        <w:t>Loans Held for Sale:</w:t>
      </w:r>
      <w:r>
        <w:rPr>
          <w:color w:val="000000"/>
        </w:rPr>
        <w:t xml:space="preserve"> </w:t>
      </w:r>
      <w:r>
        <w:rPr>
          <w:rFonts w:ascii="Times New Roman;serif" w:hAnsi="Times New Roman;serif"/>
          <w:b w:val="false"/>
          <w:color w:val="000000"/>
          <w:sz w:val="20"/>
        </w:rPr>
        <w:t>The fair value of loans held for sale is determined using actual quoted commitments from third party investors resulting in Level 1 classification. Where commitments are not yet available, fair value is estimated based on quotes for similar assets resulting in Level 2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assets and liabilities measured on a recurring basis as of the dates noted (dollars in thousands):</w:t>
      </w:r>
    </w:p>
    <w:tbl>
      <w:tblPr>
        <w:tblW w:w="10205" w:type="dxa"/>
        <w:jc w:val="left"/>
        <w:tblInd w:w="0" w:type="dxa"/>
        <w:tblLayout w:type="fixed"/>
        <w:tblCellMar>
          <w:top w:w="28" w:type="dxa"/>
          <w:left w:w="28" w:type="dxa"/>
          <w:bottom w:w="28" w:type="dxa"/>
          <w:right w:w="28" w:type="dxa"/>
        </w:tblCellMar>
      </w:tblPr>
      <w:tblGrid>
        <w:gridCol w:w="2312"/>
        <w:gridCol w:w="1195"/>
        <w:gridCol w:w="1167"/>
        <w:gridCol w:w="109"/>
        <w:gridCol w:w="109"/>
        <w:gridCol w:w="109"/>
        <w:gridCol w:w="268"/>
        <w:gridCol w:w="577"/>
        <w:gridCol w:w="152"/>
        <w:gridCol w:w="109"/>
        <w:gridCol w:w="109"/>
        <w:gridCol w:w="109"/>
        <w:gridCol w:w="196"/>
        <w:gridCol w:w="736"/>
        <w:gridCol w:w="109"/>
        <w:gridCol w:w="109"/>
        <w:gridCol w:w="109"/>
        <w:gridCol w:w="109"/>
        <w:gridCol w:w="249"/>
        <w:gridCol w:w="707"/>
        <w:gridCol w:w="140"/>
        <w:gridCol w:w="109"/>
        <w:gridCol w:w="109"/>
        <w:gridCol w:w="109"/>
        <w:gridCol w:w="196"/>
        <w:gridCol w:w="736"/>
        <w:gridCol w:w="157"/>
      </w:tblGrid>
      <w:tr>
        <w:trPr/>
        <w:tc>
          <w:tcPr>
            <w:tcW w:w="231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 Markets</w:t>
              <w:br/>
              <w:t>for 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Balance</w:t>
            </w:r>
          </w:p>
        </w:tc>
      </w:tr>
      <w:tr>
        <w:trPr/>
        <w:tc>
          <w:tcPr>
            <w:tcW w:w="4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debt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 and FSC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IRLC,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123,329 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 and FSC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67"/>
        <w:gridCol w:w="1560"/>
        <w:gridCol w:w="1513"/>
        <w:gridCol w:w="109"/>
        <w:gridCol w:w="109"/>
        <w:gridCol w:w="109"/>
        <w:gridCol w:w="272"/>
        <w:gridCol w:w="585"/>
        <w:gridCol w:w="154"/>
        <w:gridCol w:w="109"/>
        <w:gridCol w:w="109"/>
        <w:gridCol w:w="109"/>
        <w:gridCol w:w="196"/>
        <w:gridCol w:w="646"/>
        <w:gridCol w:w="109"/>
        <w:gridCol w:w="109"/>
        <w:gridCol w:w="109"/>
        <w:gridCol w:w="109"/>
        <w:gridCol w:w="249"/>
        <w:gridCol w:w="707"/>
        <w:gridCol w:w="140"/>
        <w:gridCol w:w="109"/>
        <w:gridCol w:w="109"/>
        <w:gridCol w:w="109"/>
        <w:gridCol w:w="196"/>
        <w:gridCol w:w="646"/>
        <w:gridCol w:w="157"/>
      </w:tblGrid>
      <w:tr>
        <w:trPr/>
        <w:tc>
          <w:tcPr>
            <w:tcW w:w="176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 Markets</w:t>
              <w:br/>
              <w:t>for 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br/>
              <w:t>Balance</w:t>
            </w:r>
          </w:p>
        </w:tc>
      </w:tr>
      <w:tr>
        <w:trPr/>
        <w:tc>
          <w:tcPr>
            <w:tcW w:w="4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debt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mortgage-backed securities issued by U.S. government agencies and sponsored enterprises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 and FSC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IRLC,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92,459 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 and FSC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levels during the six months ended June 30, 2026 or year ended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equity securities, equity warrants, IRLC, and guarantee assets have been recorded at fair value within the Other assets line item in the Condensed Consolidated Balance Sheets. All changes are recorded in Non-interest income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Fair Value Option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account for certain purchased whole loans held for investment under the fair value option in order to align the accounting presentation with the Company’s viewpoint of the economics of the loans. Interest income on loans held for investment accounted for under the fair value option is recognized within Interest and dividend income in the accompanying Condensed Consolidated Statements of Income. Not electing fair value generally results in a larger discount being recorded on the date of the loan purchase. The discount is subsequently accreted into interest income over the underlying loan’s remaining term using the effective interest method. Additionally, management has elected the fair value option for mortgage loans originated and held for sale.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did not reclassify any loans held for investment to loans held for sale or sell any loans held for sale. During the year ended December 31, 2025, the Company deemed a loan held for sale with a carrying value of $0.3 million and a principal balance of $0.6 million as unsellable. As such, the Company reversed the write-down recorded in the fourth quarter of 2024 and reclassified its principal balance of $0.6 million from Loans held for sale into Loans held for investment. Subsequent to the transfer into Loans held for investment, the loan was charged off through the ACL in the first quarter of 2025. The transfers occurred at the point in time the Company decided to sell the loans or when the loans were deemed unsellable. During the year ended December 31, 2025, no reclassified loans held for sale were sold. As of June 30, 2026 and December 31, 2025, there were no loans held for sale.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five loans totaling $0.2 million, accounted for under the fair value option on non-accrual. As of December 31, 2025, there were three loans totaling $17 thousand, accounted for under the fair value option that were on non-accrual. During the three months ended June 30, 2026 and 2025, the Company recorded immaterial net charge-offs for loans accounted for under the fair value option to Net gain/(loss) on loans accounted for under the fair value option on the Condensed Consolidated Statements of Income. During the six months ended June 30, 2026 and 2025, the Company recorded net charge-offs of $46 thousand and $0.1 million, respectively, for loans accounted for under the fair value option to Net (loss) gain on loans accounted for under the fair value option on the Condensed Consolidated Statements of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provide more information about the fair value carrying amount and unpaid principal outstanding of loans accounted for under the fair value option as of the dates noted:</w:t>
      </w:r>
    </w:p>
    <w:tbl>
      <w:tblPr>
        <w:tblW w:w="11111" w:type="dxa"/>
        <w:jc w:val="left"/>
        <w:tblInd w:w="0" w:type="dxa"/>
        <w:tblLayout w:type="fixed"/>
        <w:tblCellMar>
          <w:top w:w="28" w:type="dxa"/>
          <w:left w:w="28" w:type="dxa"/>
          <w:bottom w:w="28" w:type="dxa"/>
          <w:right w:w="28" w:type="dxa"/>
        </w:tblCellMar>
      </w:tblPr>
      <w:tblGrid>
        <w:gridCol w:w="359"/>
        <w:gridCol w:w="263"/>
        <w:gridCol w:w="264"/>
        <w:gridCol w:w="196"/>
        <w:gridCol w:w="646"/>
        <w:gridCol w:w="109"/>
        <w:gridCol w:w="109"/>
        <w:gridCol w:w="109"/>
        <w:gridCol w:w="109"/>
        <w:gridCol w:w="196"/>
        <w:gridCol w:w="646"/>
        <w:gridCol w:w="109"/>
        <w:gridCol w:w="109"/>
        <w:gridCol w:w="109"/>
        <w:gridCol w:w="109"/>
        <w:gridCol w:w="231"/>
        <w:gridCol w:w="496"/>
        <w:gridCol w:w="129"/>
        <w:gridCol w:w="109"/>
        <w:gridCol w:w="109"/>
        <w:gridCol w:w="109"/>
        <w:gridCol w:w="210"/>
        <w:gridCol w:w="452"/>
        <w:gridCol w:w="119"/>
        <w:gridCol w:w="109"/>
        <w:gridCol w:w="109"/>
        <w:gridCol w:w="109"/>
        <w:gridCol w:w="206"/>
        <w:gridCol w:w="444"/>
        <w:gridCol w:w="116"/>
        <w:gridCol w:w="109"/>
        <w:gridCol w:w="109"/>
        <w:gridCol w:w="109"/>
        <w:gridCol w:w="235"/>
        <w:gridCol w:w="488"/>
        <w:gridCol w:w="133"/>
        <w:gridCol w:w="109"/>
        <w:gridCol w:w="109"/>
        <w:gridCol w:w="109"/>
        <w:gridCol w:w="210"/>
        <w:gridCol w:w="452"/>
        <w:gridCol w:w="119"/>
        <w:gridCol w:w="109"/>
        <w:gridCol w:w="109"/>
        <w:gridCol w:w="109"/>
        <w:gridCol w:w="206"/>
        <w:gridCol w:w="444"/>
        <w:gridCol w:w="116"/>
        <w:gridCol w:w="109"/>
        <w:gridCol w:w="109"/>
        <w:gridCol w:w="109"/>
        <w:gridCol w:w="233"/>
        <w:gridCol w:w="483"/>
        <w:gridCol w:w="185"/>
      </w:tblGrid>
      <w:tr>
        <w:trPr/>
        <w:tc>
          <w:tcPr>
            <w:tcW w:w="3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 Accruals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11" w:type="dxa"/>
        <w:jc w:val="left"/>
        <w:tblInd w:w="0" w:type="dxa"/>
        <w:tblLayout w:type="fixed"/>
        <w:tblCellMar>
          <w:top w:w="28" w:type="dxa"/>
          <w:left w:w="28" w:type="dxa"/>
          <w:bottom w:w="28" w:type="dxa"/>
          <w:right w:w="28" w:type="dxa"/>
        </w:tblCellMar>
      </w:tblPr>
      <w:tblGrid>
        <w:gridCol w:w="359"/>
        <w:gridCol w:w="263"/>
        <w:gridCol w:w="264"/>
        <w:gridCol w:w="196"/>
        <w:gridCol w:w="646"/>
        <w:gridCol w:w="109"/>
        <w:gridCol w:w="109"/>
        <w:gridCol w:w="109"/>
        <w:gridCol w:w="109"/>
        <w:gridCol w:w="196"/>
        <w:gridCol w:w="646"/>
        <w:gridCol w:w="109"/>
        <w:gridCol w:w="109"/>
        <w:gridCol w:w="109"/>
        <w:gridCol w:w="109"/>
        <w:gridCol w:w="231"/>
        <w:gridCol w:w="496"/>
        <w:gridCol w:w="129"/>
        <w:gridCol w:w="109"/>
        <w:gridCol w:w="109"/>
        <w:gridCol w:w="109"/>
        <w:gridCol w:w="215"/>
        <w:gridCol w:w="445"/>
        <w:gridCol w:w="121"/>
        <w:gridCol w:w="109"/>
        <w:gridCol w:w="109"/>
        <w:gridCol w:w="109"/>
        <w:gridCol w:w="211"/>
        <w:gridCol w:w="437"/>
        <w:gridCol w:w="118"/>
        <w:gridCol w:w="109"/>
        <w:gridCol w:w="109"/>
        <w:gridCol w:w="109"/>
        <w:gridCol w:w="235"/>
        <w:gridCol w:w="488"/>
        <w:gridCol w:w="133"/>
        <w:gridCol w:w="109"/>
        <w:gridCol w:w="109"/>
        <w:gridCol w:w="109"/>
        <w:gridCol w:w="215"/>
        <w:gridCol w:w="445"/>
        <w:gridCol w:w="121"/>
        <w:gridCol w:w="109"/>
        <w:gridCol w:w="109"/>
        <w:gridCol w:w="109"/>
        <w:gridCol w:w="211"/>
        <w:gridCol w:w="437"/>
        <w:gridCol w:w="118"/>
        <w:gridCol w:w="109"/>
        <w:gridCol w:w="109"/>
        <w:gridCol w:w="109"/>
        <w:gridCol w:w="233"/>
        <w:gridCol w:w="483"/>
        <w:gridCol w:w="185"/>
      </w:tblGrid>
      <w:tr>
        <w:trPr/>
        <w:tc>
          <w:tcPr>
            <w:tcW w:w="3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 Accruals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Difference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changes in fair value of loans accounted for under the fair value option as of the dates noted:</w:t>
      </w:r>
    </w:p>
    <w:tbl>
      <w:tblPr>
        <w:tblW w:w="6149" w:type="dxa"/>
        <w:jc w:val="left"/>
        <w:tblInd w:w="0" w:type="dxa"/>
        <w:tblLayout w:type="fixed"/>
        <w:tblCellMar>
          <w:top w:w="28" w:type="dxa"/>
          <w:left w:w="28" w:type="dxa"/>
          <w:bottom w:w="28" w:type="dxa"/>
          <w:right w:w="28" w:type="dxa"/>
        </w:tblCellMar>
      </w:tblPr>
      <w:tblGrid>
        <w:gridCol w:w="776"/>
        <w:gridCol w:w="683"/>
        <w:gridCol w:w="685"/>
        <w:gridCol w:w="196"/>
        <w:gridCol w:w="421"/>
        <w:gridCol w:w="109"/>
        <w:gridCol w:w="109"/>
        <w:gridCol w:w="109"/>
        <w:gridCol w:w="109"/>
        <w:gridCol w:w="196"/>
        <w:gridCol w:w="421"/>
        <w:gridCol w:w="109"/>
        <w:gridCol w:w="109"/>
        <w:gridCol w:w="109"/>
        <w:gridCol w:w="109"/>
        <w:gridCol w:w="196"/>
        <w:gridCol w:w="496"/>
        <w:gridCol w:w="109"/>
        <w:gridCol w:w="109"/>
        <w:gridCol w:w="109"/>
        <w:gridCol w:w="109"/>
        <w:gridCol w:w="196"/>
        <w:gridCol w:w="42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Level 3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 reconciliation for Level 3 instruments measured at fair value on a recurring basis as of the dates noted (dollars in thousands):</w:t>
      </w:r>
    </w:p>
    <w:tbl>
      <w:tblPr>
        <w:tblW w:w="8954" w:type="dxa"/>
        <w:jc w:val="left"/>
        <w:tblInd w:w="0" w:type="dxa"/>
        <w:tblLayout w:type="fixed"/>
        <w:tblCellMar>
          <w:top w:w="28" w:type="dxa"/>
          <w:left w:w="28" w:type="dxa"/>
          <w:bottom w:w="28" w:type="dxa"/>
          <w:right w:w="28" w:type="dxa"/>
        </w:tblCellMar>
      </w:tblPr>
      <w:tblGrid>
        <w:gridCol w:w="971"/>
        <w:gridCol w:w="853"/>
        <w:gridCol w:w="861"/>
        <w:gridCol w:w="109"/>
        <w:gridCol w:w="109"/>
        <w:gridCol w:w="109"/>
        <w:gridCol w:w="109"/>
        <w:gridCol w:w="109"/>
        <w:gridCol w:w="444"/>
        <w:gridCol w:w="1259"/>
        <w:gridCol w:w="246"/>
        <w:gridCol w:w="109"/>
        <w:gridCol w:w="109"/>
        <w:gridCol w:w="109"/>
        <w:gridCol w:w="109"/>
        <w:gridCol w:w="109"/>
        <w:gridCol w:w="352"/>
        <w:gridCol w:w="756"/>
        <w:gridCol w:w="197"/>
        <w:gridCol w:w="109"/>
        <w:gridCol w:w="109"/>
        <w:gridCol w:w="109"/>
        <w:gridCol w:w="109"/>
        <w:gridCol w:w="109"/>
        <w:gridCol w:w="350"/>
        <w:gridCol w:w="753"/>
        <w:gridCol w:w="277"/>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Held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Guarantee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Warrants</w:t>
            </w:r>
          </w:p>
        </w:tc>
      </w:tr>
      <w:tr>
        <w:trPr/>
        <w:tc>
          <w:tcPr>
            <w:tcW w:w="2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Gains/(losses) in net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54" w:type="dxa"/>
        <w:jc w:val="left"/>
        <w:tblInd w:w="0" w:type="dxa"/>
        <w:tblLayout w:type="fixed"/>
        <w:tblCellMar>
          <w:top w:w="28" w:type="dxa"/>
          <w:left w:w="28" w:type="dxa"/>
          <w:bottom w:w="28" w:type="dxa"/>
          <w:right w:w="28" w:type="dxa"/>
        </w:tblCellMar>
      </w:tblPr>
      <w:tblGrid>
        <w:gridCol w:w="971"/>
        <w:gridCol w:w="853"/>
        <w:gridCol w:w="861"/>
        <w:gridCol w:w="109"/>
        <w:gridCol w:w="109"/>
        <w:gridCol w:w="109"/>
        <w:gridCol w:w="109"/>
        <w:gridCol w:w="109"/>
        <w:gridCol w:w="444"/>
        <w:gridCol w:w="1259"/>
        <w:gridCol w:w="246"/>
        <w:gridCol w:w="109"/>
        <w:gridCol w:w="109"/>
        <w:gridCol w:w="109"/>
        <w:gridCol w:w="109"/>
        <w:gridCol w:w="109"/>
        <w:gridCol w:w="352"/>
        <w:gridCol w:w="756"/>
        <w:gridCol w:w="197"/>
        <w:gridCol w:w="109"/>
        <w:gridCol w:w="109"/>
        <w:gridCol w:w="109"/>
        <w:gridCol w:w="109"/>
        <w:gridCol w:w="109"/>
        <w:gridCol w:w="350"/>
        <w:gridCol w:w="753"/>
        <w:gridCol w:w="277"/>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Held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Guarantee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Warrants</w:t>
            </w:r>
          </w:p>
        </w:tc>
      </w:tr>
      <w:tr>
        <w:trPr/>
        <w:tc>
          <w:tcPr>
            <w:tcW w:w="2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Gains/(losses) in net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8" w:type="dxa"/>
        <w:jc w:val="left"/>
        <w:tblInd w:w="0" w:type="dxa"/>
        <w:tblLayout w:type="fixed"/>
        <w:tblCellMar>
          <w:top w:w="28" w:type="dxa"/>
          <w:left w:w="28" w:type="dxa"/>
          <w:bottom w:w="28" w:type="dxa"/>
          <w:right w:w="28" w:type="dxa"/>
        </w:tblCellMar>
      </w:tblPr>
      <w:tblGrid>
        <w:gridCol w:w="900"/>
        <w:gridCol w:w="791"/>
        <w:gridCol w:w="798"/>
        <w:gridCol w:w="109"/>
        <w:gridCol w:w="109"/>
        <w:gridCol w:w="109"/>
        <w:gridCol w:w="109"/>
        <w:gridCol w:w="109"/>
        <w:gridCol w:w="444"/>
        <w:gridCol w:w="1259"/>
        <w:gridCol w:w="246"/>
        <w:gridCol w:w="109"/>
        <w:gridCol w:w="109"/>
        <w:gridCol w:w="109"/>
        <w:gridCol w:w="109"/>
        <w:gridCol w:w="109"/>
        <w:gridCol w:w="352"/>
        <w:gridCol w:w="756"/>
        <w:gridCol w:w="197"/>
        <w:gridCol w:w="109"/>
        <w:gridCol w:w="109"/>
        <w:gridCol w:w="109"/>
        <w:gridCol w:w="109"/>
        <w:gridCol w:w="109"/>
        <w:gridCol w:w="350"/>
        <w:gridCol w:w="753"/>
        <w:gridCol w:w="277"/>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Held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Guarantee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Warrants</w:t>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Gains/(losses) in net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8" w:type="dxa"/>
        <w:jc w:val="left"/>
        <w:tblInd w:w="0" w:type="dxa"/>
        <w:tblLayout w:type="fixed"/>
        <w:tblCellMar>
          <w:top w:w="28" w:type="dxa"/>
          <w:left w:w="28" w:type="dxa"/>
          <w:bottom w:w="28" w:type="dxa"/>
          <w:right w:w="28" w:type="dxa"/>
        </w:tblCellMar>
      </w:tblPr>
      <w:tblGrid>
        <w:gridCol w:w="900"/>
        <w:gridCol w:w="791"/>
        <w:gridCol w:w="798"/>
        <w:gridCol w:w="109"/>
        <w:gridCol w:w="109"/>
        <w:gridCol w:w="109"/>
        <w:gridCol w:w="109"/>
        <w:gridCol w:w="109"/>
        <w:gridCol w:w="444"/>
        <w:gridCol w:w="1259"/>
        <w:gridCol w:w="246"/>
        <w:gridCol w:w="109"/>
        <w:gridCol w:w="109"/>
        <w:gridCol w:w="109"/>
        <w:gridCol w:w="109"/>
        <w:gridCol w:w="109"/>
        <w:gridCol w:w="352"/>
        <w:gridCol w:w="756"/>
        <w:gridCol w:w="197"/>
        <w:gridCol w:w="109"/>
        <w:gridCol w:w="109"/>
        <w:gridCol w:w="109"/>
        <w:gridCol w:w="109"/>
        <w:gridCol w:w="109"/>
        <w:gridCol w:w="350"/>
        <w:gridCol w:w="753"/>
        <w:gridCol w:w="277"/>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Loans Held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Guarantee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Warrants</w:t>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7,283 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Gains/(losses) in net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5,099 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Nonrecurring Fair Value</w:t>
      </w:r>
    </w:p>
    <w:p>
      <w:pPr>
        <w:pStyle w:val="TextBody"/>
        <w:bidi w:val="0"/>
        <w:spacing w:lineRule="auto" w:line="288" w:before="0" w:after="120"/>
        <w:jc w:val="both"/>
        <w:rPr/>
      </w:pPr>
      <w:r>
        <w:rPr>
          <w:rFonts w:ascii="Times New Roman;serif" w:hAnsi="Times New Roman;serif"/>
          <w:b w:val="false"/>
          <w:i/>
          <w:color w:val="000000"/>
          <w:sz w:val="20"/>
          <w:u w:val="single"/>
        </w:rPr>
        <w:t>Other Real Estate Owned</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Assets acquired through or instead of loan foreclosure are initially recorded at fair value less costs to sell when acquired, establishing a new cost basis. They are subsequently accounted for at lower of cost or fair value less estimated costs to sell. Fair value is commonly based on recent real estate appraisals which are updated no less frequently than on an annual basis. Appraisals may utilize a single valuation approach or a combination of approaches including comparable sales and the income approach. Adjustments are routinely made in the appraisal process by the independent appraisers to adjust for differences between comparable sales and income data available. Such adjustments can be significant and typically result in Level 3 classifications of the inputs for determining fair value. OREO is evaluated quarterly for additional impairment and adjusted accordingly.</w:t>
      </w:r>
    </w:p>
    <w:p>
      <w:pPr>
        <w:pStyle w:val="TextBody"/>
        <w:bidi w:val="0"/>
        <w:spacing w:lineRule="auto" w:line="288" w:before="0" w:after="120"/>
        <w:jc w:val="both"/>
        <w:rPr/>
      </w:pPr>
      <w:r>
        <w:rPr>
          <w:rFonts w:ascii="Times New Roman;serif" w:hAnsi="Times New Roman;serif"/>
          <w:b w:val="false"/>
          <w:i/>
          <w:color w:val="000000"/>
          <w:sz w:val="20"/>
          <w:u w:val="single"/>
        </w:rPr>
        <w:t>Collateral Dependent Loans, net of ACL</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fair value of collateral dependent loans individually analyzed and not included in the pooled loan analysis under the ACL is generally based on recent appraisals and the value of any credit enhancements associated with the loan.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Level 3 classifications of the inputs for determining fair value. Collateral dependent loans are analyzed monthly and adjusted accordingly if needed.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Appraisals for both collateral-dependent loans and OREO are performed by certified general appraisers (for commercial properties) or certified residential appraisers (for residential properties) whose qualifications and licenses have been reviewed and verified by the Company. Once received, the Company reviews the assumptions and approaches utilized in the appraisal as well as the overall resulting fair value in comparison with independent data sources such as recent market data or industry-wide statistics.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quantitative information about Level 3 assets measured on a recurring and nonrecurring basis as of the dates noted:</w:t>
      </w:r>
    </w:p>
    <w:tbl>
      <w:tblPr>
        <w:tblW w:w="10205" w:type="dxa"/>
        <w:jc w:val="left"/>
        <w:tblInd w:w="0" w:type="dxa"/>
        <w:tblLayout w:type="fixed"/>
        <w:tblCellMar>
          <w:top w:w="28" w:type="dxa"/>
          <w:left w:w="28" w:type="dxa"/>
          <w:bottom w:w="28" w:type="dxa"/>
          <w:right w:w="28" w:type="dxa"/>
        </w:tblCellMar>
      </w:tblPr>
      <w:tblGrid>
        <w:gridCol w:w="785"/>
        <w:gridCol w:w="499"/>
        <w:gridCol w:w="502"/>
        <w:gridCol w:w="109"/>
        <w:gridCol w:w="109"/>
        <w:gridCol w:w="109"/>
        <w:gridCol w:w="285"/>
        <w:gridCol w:w="810"/>
        <w:gridCol w:w="158"/>
        <w:gridCol w:w="158"/>
        <w:gridCol w:w="158"/>
        <w:gridCol w:w="158"/>
        <w:gridCol w:w="916"/>
        <w:gridCol w:w="783"/>
        <w:gridCol w:w="794"/>
        <w:gridCol w:w="158"/>
        <w:gridCol w:w="158"/>
        <w:gridCol w:w="158"/>
        <w:gridCol w:w="581"/>
        <w:gridCol w:w="581"/>
        <w:gridCol w:w="583"/>
        <w:gridCol w:w="158"/>
        <w:gridCol w:w="158"/>
        <w:gridCol w:w="158"/>
        <w:gridCol w:w="341"/>
        <w:gridCol w:w="341"/>
        <w:gridCol w:w="497"/>
      </w:tblGrid>
      <w:tr>
        <w:trPr/>
        <w:tc>
          <w:tcPr>
            <w:tcW w:w="78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Quantitative Information about Level 3 Fair Value Measurements as of June 30, 2026</w:t>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Valuation </w:t>
              <w:br/>
              <w:t>Technique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w:t>
              <w:br/>
              <w:t>(Weighted Average)</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Recurring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 to 7% (6%)</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 rate</w:t>
              <w:br/>
              <w:t>Prepayment rate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 (5%)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(18%)</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Black-Scholes option pricing model</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Volatility</w:t>
              <w:br/>
              <w:t>Risk-free interest rate</w:t>
              <w:br/>
              <w:t>Remaining life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 to 74% (42%)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 (3%)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 years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Nonrecurring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Sales comparison, Market approach - guideline transaction method</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Loss given default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 (88%)</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Appraisal value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 to 20% (18%)</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Sales comparison - Market value approach</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rate adjustments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 to 75% (41%)</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Income and market approach</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cost to sell, closing costs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 (10%)</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1"/>
        <w:gridCol w:w="493"/>
        <w:gridCol w:w="495"/>
        <w:gridCol w:w="109"/>
        <w:gridCol w:w="109"/>
        <w:gridCol w:w="109"/>
        <w:gridCol w:w="292"/>
        <w:gridCol w:w="829"/>
        <w:gridCol w:w="162"/>
        <w:gridCol w:w="162"/>
        <w:gridCol w:w="162"/>
        <w:gridCol w:w="162"/>
        <w:gridCol w:w="910"/>
        <w:gridCol w:w="775"/>
        <w:gridCol w:w="786"/>
        <w:gridCol w:w="162"/>
        <w:gridCol w:w="162"/>
        <w:gridCol w:w="162"/>
        <w:gridCol w:w="575"/>
        <w:gridCol w:w="575"/>
        <w:gridCol w:w="577"/>
        <w:gridCol w:w="162"/>
        <w:gridCol w:w="162"/>
        <w:gridCol w:w="162"/>
        <w:gridCol w:w="339"/>
        <w:gridCol w:w="339"/>
        <w:gridCol w:w="492"/>
      </w:tblGrid>
      <w:tr>
        <w:trPr/>
        <w:tc>
          <w:tcPr>
            <w:tcW w:w="7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Quantitative Information about Level 3 Fair Value Measurements as of December 31, 2025</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Valuation </w:t>
              <w:br/>
              <w:t>Technique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Unobservable Input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w:t>
              <w:br/>
              <w:t>(Weighted Average)</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Recurring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 to 7% (6%)</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 rate</w:t>
              <w:br/>
              <w:t>Prepayment rate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 (6%)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 (20%)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Black-Scholes option pricing model</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Volatility</w:t>
              <w:br/>
              <w:t>Risk-free interest rate</w:t>
              <w:br/>
              <w:t>Remaining life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 to 74% (42%)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 (3%)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 years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Nonrecurring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value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cost to sell, closing costs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 (5%)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 dependent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Sales comparison, Market approach - Guideline transaction method</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Loss given default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 (75%)</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Appraisal value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 to 20% (17%)</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Sales comparison - Market value approach</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rate adjustments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 to 75% (62%)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Estimated Fair Value of Other Financial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carrying amounts and estimated fair values for financial instruments not carried at fair value as of the dates noted (dollars in thousands):</w:t>
      </w:r>
    </w:p>
    <w:tbl>
      <w:tblPr>
        <w:tblW w:w="8425" w:type="dxa"/>
        <w:jc w:val="left"/>
        <w:tblInd w:w="0" w:type="dxa"/>
        <w:tblLayout w:type="fixed"/>
        <w:tblCellMar>
          <w:top w:w="28" w:type="dxa"/>
          <w:left w:w="28" w:type="dxa"/>
          <w:bottom w:w="28" w:type="dxa"/>
          <w:right w:w="28" w:type="dxa"/>
        </w:tblCellMar>
      </w:tblPr>
      <w:tblGrid>
        <w:gridCol w:w="1174"/>
        <w:gridCol w:w="1034"/>
        <w:gridCol w:w="1047"/>
        <w:gridCol w:w="109"/>
        <w:gridCol w:w="109"/>
        <w:gridCol w:w="109"/>
        <w:gridCol w:w="196"/>
        <w:gridCol w:w="736"/>
        <w:gridCol w:w="109"/>
        <w:gridCol w:w="109"/>
        <w:gridCol w:w="109"/>
        <w:gridCol w:w="109"/>
        <w:gridCol w:w="196"/>
        <w:gridCol w:w="736"/>
        <w:gridCol w:w="109"/>
        <w:gridCol w:w="109"/>
        <w:gridCol w:w="109"/>
        <w:gridCol w:w="109"/>
        <w:gridCol w:w="210"/>
        <w:gridCol w:w="436"/>
        <w:gridCol w:w="109"/>
        <w:gridCol w:w="109"/>
        <w:gridCol w:w="109"/>
        <w:gridCol w:w="109"/>
        <w:gridCol w:w="283"/>
        <w:gridCol w:w="588"/>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debt securities, net of 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net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2,635,054 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Term deposits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borrowings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 – 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25" w:type="dxa"/>
        <w:jc w:val="left"/>
        <w:tblInd w:w="0" w:type="dxa"/>
        <w:tblLayout w:type="fixed"/>
        <w:tblCellMar>
          <w:top w:w="28" w:type="dxa"/>
          <w:left w:w="28" w:type="dxa"/>
          <w:bottom w:w="28" w:type="dxa"/>
          <w:right w:w="28" w:type="dxa"/>
        </w:tblCellMar>
      </w:tblPr>
      <w:tblGrid>
        <w:gridCol w:w="1176"/>
        <w:gridCol w:w="1038"/>
        <w:gridCol w:w="1041"/>
        <w:gridCol w:w="109"/>
        <w:gridCol w:w="109"/>
        <w:gridCol w:w="109"/>
        <w:gridCol w:w="196"/>
        <w:gridCol w:w="736"/>
        <w:gridCol w:w="109"/>
        <w:gridCol w:w="109"/>
        <w:gridCol w:w="109"/>
        <w:gridCol w:w="109"/>
        <w:gridCol w:w="196"/>
        <w:gridCol w:w="736"/>
        <w:gridCol w:w="109"/>
        <w:gridCol w:w="109"/>
        <w:gridCol w:w="109"/>
        <w:gridCol w:w="109"/>
        <w:gridCol w:w="210"/>
        <w:gridCol w:w="436"/>
        <w:gridCol w:w="109"/>
        <w:gridCol w:w="109"/>
        <w:gridCol w:w="109"/>
        <w:gridCol w:w="109"/>
        <w:gridCol w:w="283"/>
        <w:gridCol w:w="588"/>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debt securities, net of 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net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2,567,911 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Term deposits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borrowings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borrowings – 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borrowings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 – 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Excludes loans accounted for under the fair value option of $1.8 million and $3.2 million as of June 30, 2026 and December 31, 2025, respectively, as these are carried at fair value. </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Term deposits due within one year totaling $328.7 million and $327.9 million as of June 30, 2026 and December 31, 2025, respectively, are classified under Level 1 fair value measurement.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value estimates presented and discussed above are based on pertinent information available to management as of the dates specified. The estimated fair value amounts are based on the exit price notion. Although management is not aware of any factors that would significantly affect the estimated fair values, such amounts have not been comprehensively revalued for purposes of these condensed consolidated financial statements since the balance sheet dates. Therefore, current estimates of fair value may differ significantly from the amounts presented herein.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methods and assumptions, not previously presented, used to estimate fair values are described as follows:</w:t>
      </w:r>
    </w:p>
    <w:p>
      <w:pPr>
        <w:pStyle w:val="TextBody"/>
        <w:bidi w:val="0"/>
        <w:spacing w:lineRule="auto" w:line="288" w:before="0" w:after="120"/>
        <w:jc w:val="both"/>
        <w:rPr/>
      </w:pPr>
      <w:r>
        <w:rPr>
          <w:rFonts w:ascii="Times New Roman;serif" w:hAnsi="Times New Roman;serif"/>
          <w:b w:val="false"/>
          <w:i/>
          <w:color w:val="000000"/>
          <w:sz w:val="20"/>
          <w:u w:val="single"/>
        </w:rPr>
        <w:t>Cash and Cash Equivalents</w:t>
      </w:r>
      <w:r>
        <w:rPr>
          <w:rFonts w:ascii="Times New Roman;serif" w:hAnsi="Times New Roman;serif"/>
          <w:b w:val="false"/>
          <w:color w:val="000000"/>
          <w:sz w:val="20"/>
        </w:rPr>
        <w:t>: The carrying amounts of cash and cash equivalents approximate fair values as maturities are less than 90 days and balances are generally in accounts bearing current market interest rates.</w:t>
      </w:r>
    </w:p>
    <w:p>
      <w:pPr>
        <w:pStyle w:val="TextBody"/>
        <w:bidi w:val="0"/>
        <w:spacing w:lineRule="auto" w:line="288" w:before="0" w:after="120"/>
        <w:jc w:val="both"/>
        <w:rPr/>
      </w:pPr>
      <w:r>
        <w:rPr>
          <w:rFonts w:ascii="Times New Roman;serif" w:hAnsi="Times New Roman;serif"/>
          <w:b w:val="false"/>
          <w:i/>
          <w:color w:val="000000"/>
          <w:sz w:val="20"/>
          <w:u w:val="single"/>
        </w:rPr>
        <w:t>Held-to-maturity securities</w:t>
      </w:r>
      <w:r>
        <w:rPr>
          <w:rFonts w:ascii="Times New Roman;serif" w:hAnsi="Times New Roman;serif"/>
          <w:b w:val="false"/>
          <w:color w:val="000000"/>
          <w:sz w:val="20"/>
        </w:rPr>
        <w:t>: The fair values for HTM investment securities are determined by quoted market prices, if available (Level 1). For securities where quoted prices are not available, fair values are calculated based on market prices of similar securities (Level 2). For securities where quoted prices or market prices of similar securities is not available, fair values are calculated using discounted cash flows or other market indicators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i/>
          <w:color w:val="000000"/>
          <w:sz w:val="20"/>
          <w:u w:val="single"/>
        </w:rPr>
        <w:t>Loans, net</w:t>
      </w:r>
      <w:r>
        <w:rPr>
          <w:rFonts w:ascii="Times New Roman;serif" w:hAnsi="Times New Roman;serif"/>
          <w:b w:val="false"/>
          <w:color w:val="000000"/>
          <w:sz w:val="20"/>
        </w:rPr>
        <w:t>: The fair values for all fixed-rate and variable-rate performing loans were estimated using the income approach and by discounting the projected cash flows of such loans. Principal and interest cash flows were projected based on the contractual terms of the loans, including maturity, contractual amortization and adjustments for prepayments and expected losses, where appropriate. A discount rate was developed based on the relative risk of the cash flows, considering the loan type, maturity and a required return on capital.</w:t>
      </w:r>
    </w:p>
    <w:p>
      <w:pPr>
        <w:pStyle w:val="TextBody"/>
        <w:bidi w:val="0"/>
        <w:spacing w:lineRule="auto" w:line="288" w:before="0" w:after="120"/>
        <w:jc w:val="both"/>
        <w:rPr/>
      </w:pPr>
      <w:r>
        <w:rPr>
          <w:rFonts w:ascii="Times New Roman;serif" w:hAnsi="Times New Roman;serif"/>
          <w:b w:val="false"/>
          <w:i/>
          <w:color w:val="000000"/>
          <w:sz w:val="20"/>
          <w:u w:val="single"/>
        </w:rPr>
        <w:t>Accrued Interest Receivable and Payable</w:t>
      </w:r>
      <w:r>
        <w:rPr>
          <w:rFonts w:ascii="Times New Roman;serif" w:hAnsi="Times New Roman;serif"/>
          <w:b w:val="false"/>
          <w:color w:val="000000"/>
          <w:sz w:val="20"/>
        </w:rPr>
        <w:t>: The carrying amounts of accrued interest approximate fair value due to their short-term nature.</w:t>
      </w:r>
    </w:p>
    <w:p>
      <w:pPr>
        <w:pStyle w:val="TextBody"/>
        <w:bidi w:val="0"/>
        <w:spacing w:lineRule="auto" w:line="288" w:before="0" w:after="120"/>
        <w:jc w:val="both"/>
        <w:rPr/>
      </w:pPr>
      <w:r>
        <w:rPr>
          <w:rFonts w:ascii="Times New Roman;serif" w:hAnsi="Times New Roman;serif"/>
          <w:b w:val="false"/>
          <w:i/>
          <w:color w:val="000000"/>
          <w:sz w:val="20"/>
          <w:u w:val="single"/>
        </w:rPr>
        <w:t>Deposits</w:t>
      </w:r>
      <w:r>
        <w:rPr>
          <w:rFonts w:ascii="Times New Roman;serif" w:hAnsi="Times New Roman;serif"/>
          <w:b w:val="false"/>
          <w:color w:val="000000"/>
          <w:sz w:val="20"/>
        </w:rPr>
        <w:t>: The fair values disclosed for demand deposits (e.g., interest and non-interest checking, passbook savings, and certain types of money market accounts) are, by definition, equal to the amounts payable on demand at the reporting date (i.e., their carrying amounts). The carrying amounts of variable-rate, fixed-term money market accounts and certificates of deposit approximate their fair values at the reporting dates. Fair values for fixed-rate certificates of deposit are estimated using a DCF calculation that applies interest rates currently being offered on certificates to a schedule of aggregated expected monthly maturities on time deposits.</w:t>
      </w:r>
    </w:p>
    <w:p>
      <w:pPr>
        <w:pStyle w:val="TextBody"/>
        <w:bidi w:val="0"/>
        <w:spacing w:lineRule="auto" w:line="288" w:before="0" w:after="120"/>
        <w:jc w:val="both"/>
        <w:rPr/>
      </w:pPr>
      <w:r>
        <w:rPr>
          <w:rFonts w:ascii="Times New Roman;serif" w:hAnsi="Times New Roman;serif"/>
          <w:b w:val="false"/>
          <w:i/>
          <w:color w:val="000000"/>
          <w:sz w:val="20"/>
          <w:u w:val="single"/>
        </w:rPr>
        <w:t>Fixed and Floating Rate Borrowings</w:t>
      </w:r>
      <w:r>
        <w:rPr>
          <w:rFonts w:ascii="Times New Roman;serif" w:hAnsi="Times New Roman;serif"/>
          <w:b w:val="false"/>
          <w:color w:val="000000"/>
          <w:sz w:val="20"/>
        </w:rPr>
        <w:t>: Borrowings with fixed rates are valued using inputs such as discounted cash flows and current interest rates for similar instruments and borrowers with similar credit ratings.</w:t>
      </w:r>
    </w:p>
    <w:p>
      <w:pPr>
        <w:pStyle w:val="TextBody"/>
        <w:bidi w:val="0"/>
        <w:spacing w:lineRule="auto" w:line="288" w:before="0" w:after="120"/>
        <w:jc w:val="both"/>
        <w:rPr/>
      </w:pPr>
      <w:r>
        <w:rPr>
          <w:rFonts w:ascii="Times New Roman;serif" w:hAnsi="Times New Roman;serif"/>
          <w:b w:val="false"/>
          <w:i/>
          <w:color w:val="000000"/>
          <w:sz w:val="20"/>
          <w:u w:val="single"/>
        </w:rPr>
        <w:t>Fixed-to-Floating Rate Borrowings</w:t>
      </w:r>
      <w:r>
        <w:rPr>
          <w:rFonts w:ascii="Times New Roman;serif" w:hAnsi="Times New Roman;serif"/>
          <w:b w:val="false"/>
          <w:color w:val="000000"/>
          <w:sz w:val="20"/>
        </w:rPr>
        <w:t>: Borrowings with fixed-to-floating rates are valued using inputs such as discounted cash flows and current interest rates for similar instruments and assume the Company will redeem the instrument prior to the first interest rate reset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13 – DERIVATIVES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periodically enters into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pStyle w:val="TextBody"/>
        <w:bidi w:val="0"/>
        <w:spacing w:lineRule="auto" w:line="288" w:before="0" w:after="120"/>
        <w:jc w:val="both"/>
        <w:rPr/>
      </w:pPr>
      <w:r>
        <w:rPr>
          <w:rFonts w:ascii="Times New Roman;serif" w:hAnsi="Times New Roman;serif"/>
          <w:b w:val="false"/>
          <w:i/>
          <w:color w:val="000000"/>
          <w:sz w:val="20"/>
          <w:u w:val="single"/>
        </w:rPr>
        <w:t>Cash Flow Hedges:</w:t>
      </w:r>
      <w:r>
        <w:rPr>
          <w:color w:val="000000"/>
        </w:rPr>
        <w:t xml:space="preserve"> </w:t>
      </w:r>
      <w:r>
        <w:rPr>
          <w:rFonts w:ascii="Times New Roman;serif" w:hAnsi="Times New Roman;serif"/>
          <w:b w:val="false"/>
          <w:color w:val="000000"/>
          <w:sz w:val="20"/>
        </w:rPr>
        <w:t>In 2023, the Company executed an interest rate swap with a notional amount that was designated as a cash flow hedge of certain FHLB borrowings. The swap hedged the benchmark index (SOFR) with a receive float/pay fixed swap for the period March 21, 2023 through April 1, 2026. Upon maturity on April 1, 2026, the interest rate swap was not renewed. The notional amount of this interest rate swap as of June 30, 2026 and December 31, 2025 was $0.0 million and $50.0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2025, the Company executed interest rate swaps with notional amounts that were designated as cash flow hedges of certain variable rate interest-bearing deposits. The swaps hedge the benchmark index (Federal funds) with a receive float/pay fixed swap with various maturities over a four-year period and total notional amount of $200.0 million as of June 30, 2026. As of June 30, 2026, these hedges were determined to be effective, and the Company expects the hedge to remain effective during the remaining terms of the contracts.</w:t>
      </w:r>
    </w:p>
    <w:p>
      <w:pPr>
        <w:pStyle w:val="TextBody"/>
        <w:bidi w:val="0"/>
        <w:spacing w:lineRule="auto" w:line="288" w:before="0" w:after="120"/>
        <w:jc w:val="both"/>
        <w:rPr/>
      </w:pPr>
      <w:r>
        <w:rPr>
          <w:rFonts w:ascii="Times New Roman;serif" w:hAnsi="Times New Roman;serif"/>
          <w:b w:val="false"/>
          <w:i/>
          <w:color w:val="000000"/>
          <w:sz w:val="20"/>
          <w:u w:val="single"/>
        </w:rPr>
        <w:t>Fair Value Hedges:</w:t>
      </w:r>
      <w:r>
        <w:rPr>
          <w:color w:val="000000"/>
        </w:rPr>
        <w:t xml:space="preserve"> </w:t>
      </w:r>
      <w:r>
        <w:rPr>
          <w:rFonts w:ascii="Times New Roman;serif" w:hAnsi="Times New Roman;serif"/>
          <w:b w:val="false"/>
          <w:color w:val="000000"/>
          <w:sz w:val="20"/>
        </w:rPr>
        <w:t>In 2025, the Company entered into interest rate swaps with notional amounts that were designated as fair value hedges of closed pools of fixed-rate loans. The instruments are designated as fair value hedges as the changes in the fair value of the interest rate swap are expected to offset changes in the fair value of the hedged item. The swap hedges the benchmark index (Federal funds) with a receive float/pay fixed swap with various maturities over a five-year period and total notional amount of $200.0 million as of June 30, 2026. As of June 30, 2026, this hedge was determined to be effective, and the Company expects the hedge to remain effective during the remaining terms of the contracts.</w:t>
      </w:r>
    </w:p>
    <w:p>
      <w:pPr>
        <w:pStyle w:val="TextBody"/>
        <w:bidi w:val="0"/>
        <w:spacing w:lineRule="auto" w:line="288" w:before="0" w:after="120"/>
        <w:jc w:val="both"/>
        <w:rPr/>
      </w:pPr>
      <w:r>
        <w:rPr>
          <w:rFonts w:ascii="Times New Roman;serif" w:hAnsi="Times New Roman;serif"/>
          <w:b w:val="false"/>
          <w:i/>
          <w:color w:val="000000"/>
          <w:sz w:val="20"/>
          <w:u w:val="single"/>
        </w:rPr>
        <w:t>Derivatives Not Designated as Hedges:</w:t>
      </w:r>
      <w:r>
        <w:rPr>
          <w:color w:val="000000"/>
        </w:rPr>
        <w:t xml:space="preserve"> </w:t>
      </w:r>
      <w:r>
        <w:rPr>
          <w:rFonts w:ascii="Times New Roman;serif" w:hAnsi="Times New Roman;serif"/>
          <w:b w:val="false"/>
          <w:color w:val="000000"/>
          <w:sz w:val="20"/>
        </w:rPr>
        <w:t>The Company periodically enters into interest rate swaps to offset interest rate exposure with its commercial and residential variable rate loan clients. Clients with variable rate loans may choose to enter into an interest rate swap to hedge the interest rate risk on the loan and effectively pay a fixed rate payment. The Company will simultaneously enter into an interest rate swap on the same underlying loan and notional amount to hedge risk on the fixed rate loan. The notional amount of interest rate swaps with its loan customers as of June 30, 2026 and December 31, 2025 was $65.5 million and $70.7 million, respectively. While these derivatives represent economic hedges, they do not qualify as hedges for accounting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Company presents derivative position gross on the balance sheet. The following reflects the fair value of derivatives recorded on the Condensed Consolidated Balance Sheets as of the dates noted:</w:t>
      </w:r>
    </w:p>
    <w:tbl>
      <w:tblPr>
        <w:tblW w:w="9573" w:type="dxa"/>
        <w:jc w:val="left"/>
        <w:tblInd w:w="0" w:type="dxa"/>
        <w:tblLayout w:type="fixed"/>
        <w:tblCellMar>
          <w:top w:w="28" w:type="dxa"/>
          <w:left w:w="28" w:type="dxa"/>
          <w:bottom w:w="28" w:type="dxa"/>
          <w:right w:w="28" w:type="dxa"/>
        </w:tblCellMar>
      </w:tblPr>
      <w:tblGrid>
        <w:gridCol w:w="1347"/>
        <w:gridCol w:w="1184"/>
        <w:gridCol w:w="1189"/>
        <w:gridCol w:w="109"/>
        <w:gridCol w:w="109"/>
        <w:gridCol w:w="109"/>
        <w:gridCol w:w="257"/>
        <w:gridCol w:w="965"/>
        <w:gridCol w:w="143"/>
        <w:gridCol w:w="109"/>
        <w:gridCol w:w="109"/>
        <w:gridCol w:w="109"/>
        <w:gridCol w:w="201"/>
        <w:gridCol w:w="572"/>
        <w:gridCol w:w="112"/>
        <w:gridCol w:w="109"/>
        <w:gridCol w:w="109"/>
        <w:gridCol w:w="109"/>
        <w:gridCol w:w="257"/>
        <w:gridCol w:w="965"/>
        <w:gridCol w:w="143"/>
        <w:gridCol w:w="109"/>
        <w:gridCol w:w="109"/>
        <w:gridCol w:w="109"/>
        <w:gridCol w:w="201"/>
        <w:gridCol w:w="571"/>
        <w:gridCol w:w="158"/>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fair value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related to customer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fair value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related to customer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effect of cash flow hedge accounting on Accumulated other comprehensive income were as follows:</w:t>
      </w:r>
    </w:p>
    <w:tbl>
      <w:tblPr>
        <w:tblW w:w="10205" w:type="dxa"/>
        <w:jc w:val="left"/>
        <w:tblInd w:w="0" w:type="dxa"/>
        <w:tblLayout w:type="fixed"/>
        <w:tblCellMar>
          <w:top w:w="28" w:type="dxa"/>
          <w:left w:w="28" w:type="dxa"/>
          <w:bottom w:w="28" w:type="dxa"/>
          <w:right w:w="28" w:type="dxa"/>
        </w:tblCellMar>
      </w:tblPr>
      <w:tblGrid>
        <w:gridCol w:w="560"/>
        <w:gridCol w:w="408"/>
        <w:gridCol w:w="409"/>
        <w:gridCol w:w="562"/>
        <w:gridCol w:w="490"/>
        <w:gridCol w:w="492"/>
        <w:gridCol w:w="109"/>
        <w:gridCol w:w="109"/>
        <w:gridCol w:w="109"/>
        <w:gridCol w:w="349"/>
        <w:gridCol w:w="991"/>
        <w:gridCol w:w="195"/>
        <w:gridCol w:w="109"/>
        <w:gridCol w:w="109"/>
        <w:gridCol w:w="109"/>
        <w:gridCol w:w="389"/>
        <w:gridCol w:w="835"/>
        <w:gridCol w:w="216"/>
        <w:gridCol w:w="109"/>
        <w:gridCol w:w="109"/>
        <w:gridCol w:w="109"/>
        <w:gridCol w:w="472"/>
        <w:gridCol w:w="799"/>
        <w:gridCol w:w="264"/>
        <w:gridCol w:w="109"/>
        <w:gridCol w:w="109"/>
        <w:gridCol w:w="109"/>
        <w:gridCol w:w="418"/>
        <w:gridCol w:w="707"/>
        <w:gridCol w:w="341"/>
      </w:tblGrid>
      <w:tr>
        <w:trPr/>
        <w:tc>
          <w:tcPr>
            <w:tcW w:w="5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(Loss) Reclassified from 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OCI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Reclassified from 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OCI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Reclassified from OCI into Income</w:t>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 - FHLB borrowings</w:t>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 - Other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 - Variable rate deposits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 -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9"/>
        <w:gridCol w:w="407"/>
        <w:gridCol w:w="408"/>
        <w:gridCol w:w="560"/>
        <w:gridCol w:w="488"/>
        <w:gridCol w:w="490"/>
        <w:gridCol w:w="109"/>
        <w:gridCol w:w="109"/>
        <w:gridCol w:w="109"/>
        <w:gridCol w:w="348"/>
        <w:gridCol w:w="988"/>
        <w:gridCol w:w="195"/>
        <w:gridCol w:w="109"/>
        <w:gridCol w:w="109"/>
        <w:gridCol w:w="109"/>
        <w:gridCol w:w="387"/>
        <w:gridCol w:w="832"/>
        <w:gridCol w:w="215"/>
        <w:gridCol w:w="109"/>
        <w:gridCol w:w="109"/>
        <w:gridCol w:w="109"/>
        <w:gridCol w:w="471"/>
        <w:gridCol w:w="796"/>
        <w:gridCol w:w="263"/>
        <w:gridCol w:w="109"/>
        <w:gridCol w:w="109"/>
        <w:gridCol w:w="109"/>
        <w:gridCol w:w="376"/>
        <w:gridCol w:w="808"/>
        <w:gridCol w:w="306"/>
      </w:tblGrid>
      <w:tr>
        <w:trPr/>
        <w:tc>
          <w:tcPr>
            <w:tcW w:w="5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5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(Loss) Reclassified from 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OCI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Reclassified from 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OCI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 Gain (Loss) Reclassified from OCI into Income</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 - FHLB borrowings</w:t>
            </w:r>
          </w:p>
        </w:tc>
        <w:tc>
          <w:tcPr>
            <w:tcW w:w="15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 - Other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 - Variable rate deposits</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 -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9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0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on the Condensed Consolidated Balance Sheets related to cumulative basis adjustments for fair value hedges for the respective period (dollars in thousands):</w:t>
      </w:r>
    </w:p>
    <w:tbl>
      <w:tblPr>
        <w:tblW w:w="10205" w:type="dxa"/>
        <w:jc w:val="left"/>
        <w:tblInd w:w="0" w:type="dxa"/>
        <w:tblLayout w:type="fixed"/>
        <w:tblCellMar>
          <w:top w:w="28" w:type="dxa"/>
          <w:left w:w="28" w:type="dxa"/>
          <w:bottom w:w="28" w:type="dxa"/>
          <w:right w:w="28" w:type="dxa"/>
        </w:tblCellMar>
      </w:tblPr>
      <w:tblGrid>
        <w:gridCol w:w="926"/>
        <w:gridCol w:w="813"/>
        <w:gridCol w:w="818"/>
        <w:gridCol w:w="109"/>
        <w:gridCol w:w="109"/>
        <w:gridCol w:w="109"/>
        <w:gridCol w:w="389"/>
        <w:gridCol w:w="1464"/>
        <w:gridCol w:w="216"/>
        <w:gridCol w:w="109"/>
        <w:gridCol w:w="109"/>
        <w:gridCol w:w="109"/>
        <w:gridCol w:w="109"/>
        <w:gridCol w:w="109"/>
        <w:gridCol w:w="935"/>
        <w:gridCol w:w="2986"/>
        <w:gridCol w:w="520"/>
        <w:gridCol w:w="109"/>
        <w:gridCol w:w="157"/>
      </w:tblGrid>
      <w:tr>
        <w:trPr/>
        <w:tc>
          <w:tcPr>
            <w:tcW w:w="9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Condensed Consolidated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 of the Hedged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 of Fair Value Hedging Included in the Carrying Amount of the Hedged Assets</w:t>
            </w:r>
          </w:p>
        </w:tc>
        <w:tc>
          <w:tcPr>
            <w:tcW w:w="266" w:type="dxa"/>
            <w:gridSpan w:val="2"/>
            <w:tcBorders/>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410,528 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effects of the fair value hedge relationships on the Condensed Consolidated Statements of Income were as follows:</w:t>
      </w:r>
    </w:p>
    <w:tbl>
      <w:tblPr>
        <w:tblW w:w="8506" w:type="dxa"/>
        <w:jc w:val="left"/>
        <w:tblInd w:w="0" w:type="dxa"/>
        <w:tblLayout w:type="fixed"/>
        <w:tblCellMar>
          <w:top w:w="28" w:type="dxa"/>
          <w:left w:w="28" w:type="dxa"/>
          <w:bottom w:w="28" w:type="dxa"/>
          <w:right w:w="28" w:type="dxa"/>
        </w:tblCellMar>
      </w:tblPr>
      <w:tblGrid>
        <w:gridCol w:w="597"/>
        <w:gridCol w:w="525"/>
        <w:gridCol w:w="527"/>
        <w:gridCol w:w="609"/>
        <w:gridCol w:w="609"/>
        <w:gridCol w:w="611"/>
        <w:gridCol w:w="109"/>
        <w:gridCol w:w="109"/>
        <w:gridCol w:w="109"/>
        <w:gridCol w:w="233"/>
        <w:gridCol w:w="663"/>
        <w:gridCol w:w="130"/>
        <w:gridCol w:w="130"/>
        <w:gridCol w:w="130"/>
        <w:gridCol w:w="130"/>
        <w:gridCol w:w="233"/>
        <w:gridCol w:w="484"/>
        <w:gridCol w:w="130"/>
        <w:gridCol w:w="109"/>
        <w:gridCol w:w="109"/>
        <w:gridCol w:w="109"/>
        <w:gridCol w:w="213"/>
        <w:gridCol w:w="605"/>
        <w:gridCol w:w="118"/>
        <w:gridCol w:w="118"/>
        <w:gridCol w:w="118"/>
        <w:gridCol w:w="118"/>
        <w:gridCol w:w="213"/>
        <w:gridCol w:w="441"/>
        <w:gridCol w:w="16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8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income -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income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effect of derivatives not designated as hedging instruments recorded in Other non-interest income on the Condensed Consolidated Statements of Income for the three and six months ended June 30, 2026 and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14 – SEGMENT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which consist of Wealth Management and Mortgage. The chief operating decision maker (CODM) is the Chief Executive Officer. The measure of profit or loss used by the CODM to identify and measure the Company’s reportable segments is income before income tax. The CODM uses income before income tax to determine resource allocation during the annual budget and forecast process and to monitor monthly budgeted versus actual results in assessing performance of the segments.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Wealth Management segment consists of operations relative to the Company’s fully integrated wealth management products and services. Services provided include deposit, loan, insurance, and trust and investment management advisory products and services. Parent company activity primarily consists of subordinated debt interest expense and is included within Wealth Management as management evaluates and makes business decisions for Wealth Management, including the parent company, collectively as one segment.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Mortgage segment consists of operations relative to the Company’s residential mortgage service offerings. Mortgage products and services are financial in nature for which premiums are recognized net of expenses, upon the sale of mortgage loans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financial information for each segment that is specifically identifiable or based on allocations using internal methods as of or during the periods presented (dollars in thousands):</w:t>
      </w:r>
    </w:p>
    <w:tbl>
      <w:tblPr>
        <w:tblW w:w="8109" w:type="dxa"/>
        <w:jc w:val="left"/>
        <w:tblInd w:w="0" w:type="dxa"/>
        <w:tblLayout w:type="fixed"/>
        <w:tblCellMar>
          <w:top w:w="28" w:type="dxa"/>
          <w:left w:w="28" w:type="dxa"/>
          <w:bottom w:w="28" w:type="dxa"/>
          <w:right w:w="28" w:type="dxa"/>
        </w:tblCellMar>
      </w:tblPr>
      <w:tblGrid>
        <w:gridCol w:w="1369"/>
        <w:gridCol w:w="1200"/>
        <w:gridCol w:w="1211"/>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or 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income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expense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All other non-interest income for Wealth Management primarily includes Trust and investment management fees, Bank fees, Insurance fees, and Other.</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All other non-interest expense for Wealth Management primarily includes Occupancy and equipment, Professional services, Technology and information systems, Data processing, and Other. All other non-interest expense for Mortgage primarily includes Data processing, Occupancy and equipment, and Other.</w:t>
      </w:r>
    </w:p>
    <w:tbl>
      <w:tblPr>
        <w:tblW w:w="8109" w:type="dxa"/>
        <w:jc w:val="left"/>
        <w:tblInd w:w="0" w:type="dxa"/>
        <w:tblLayout w:type="fixed"/>
        <w:tblCellMar>
          <w:top w:w="28" w:type="dxa"/>
          <w:left w:w="28" w:type="dxa"/>
          <w:bottom w:w="28" w:type="dxa"/>
          <w:right w:w="28" w:type="dxa"/>
        </w:tblCellMar>
      </w:tblPr>
      <w:tblGrid>
        <w:gridCol w:w="1369"/>
        <w:gridCol w:w="1200"/>
        <w:gridCol w:w="1211"/>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or 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income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expense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All other non-interest income for Wealth Management primarily includes Trust and investment management fees, Bank fees, and Other.</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All other non-interest expense for Wealth Management primarily includes Occupancy and equipment, Professional services, Data processing, Technology and information systems, and Other. All other non-interest expense for Mortgage primarily includes Data processing, Occupancy and equipment,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7538" w:type="dxa"/>
        <w:jc w:val="left"/>
        <w:tblInd w:w="0" w:type="dxa"/>
        <w:tblLayout w:type="fixed"/>
        <w:tblCellMar>
          <w:top w:w="28" w:type="dxa"/>
          <w:left w:w="28" w:type="dxa"/>
          <w:bottom w:w="28" w:type="dxa"/>
          <w:right w:w="28" w:type="dxa"/>
        </w:tblCellMar>
      </w:tblPr>
      <w:tblGrid>
        <w:gridCol w:w="1298"/>
        <w:gridCol w:w="1137"/>
        <w:gridCol w:w="1149"/>
        <w:gridCol w:w="109"/>
        <w:gridCol w:w="109"/>
        <w:gridCol w:w="109"/>
        <w:gridCol w:w="216"/>
        <w:gridCol w:w="713"/>
        <w:gridCol w:w="122"/>
        <w:gridCol w:w="109"/>
        <w:gridCol w:w="109"/>
        <w:gridCol w:w="109"/>
        <w:gridCol w:w="222"/>
        <w:gridCol w:w="478"/>
        <w:gridCol w:w="126"/>
        <w:gridCol w:w="109"/>
        <w:gridCol w:w="109"/>
        <w:gridCol w:w="109"/>
        <w:gridCol w:w="215"/>
        <w:gridCol w:w="710"/>
        <w:gridCol w:w="171"/>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or 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release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43,125 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43,844 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income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53,776 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56,885 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expense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3,211,542 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3,238,006 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All other non-interest income for Wealth Management primarily includes Trust and investment management fees, Bank fees, Risk management and Insurance fees, and Income on company-owned life insurance.</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All other non-interest expense for Wealth Management primarily includes Occupancy and equipment, Professional services, Data processing, Technology and information systems, and Other. All other non-interest expense for Mortgage primarily includes Data processing, Occupancy and equipment, and Other.</w:t>
      </w:r>
    </w:p>
    <w:tbl>
      <w:tblPr>
        <w:tblW w:w="7734" w:type="dxa"/>
        <w:jc w:val="left"/>
        <w:tblInd w:w="0" w:type="dxa"/>
        <w:tblLayout w:type="fixed"/>
        <w:tblCellMar>
          <w:top w:w="28" w:type="dxa"/>
          <w:left w:w="28" w:type="dxa"/>
          <w:bottom w:w="28" w:type="dxa"/>
          <w:right w:w="28" w:type="dxa"/>
        </w:tblCellMar>
      </w:tblPr>
      <w:tblGrid>
        <w:gridCol w:w="1369"/>
        <w:gridCol w:w="1199"/>
        <w:gridCol w:w="1212"/>
        <w:gridCol w:w="109"/>
        <w:gridCol w:w="109"/>
        <w:gridCol w:w="109"/>
        <w:gridCol w:w="216"/>
        <w:gridCol w:w="713"/>
        <w:gridCol w:w="122"/>
        <w:gridCol w:w="109"/>
        <w:gridCol w:w="109"/>
        <w:gridCol w:w="109"/>
        <w:gridCol w:w="222"/>
        <w:gridCol w:w="478"/>
        <w:gridCol w:w="126"/>
        <w:gridCol w:w="109"/>
        <w:gridCol w:w="109"/>
        <w:gridCol w:w="109"/>
        <w:gridCol w:w="215"/>
        <w:gridCol w:w="710"/>
        <w:gridCol w:w="171"/>
      </w:tblGrid>
      <w:tr>
        <w:trPr/>
        <w:tc>
          <w:tcPr>
            <w:tcW w:w="136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or 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32,991 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33,484 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income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47,134 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All other non-interest expense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3,000,682 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3,026,797 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All other non-interest income for Wealth Management primarily includes Trust and investment management fees, Bank fees, and Net gain on other real estate owned.</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All other non-interest expense for Wealth Management primarily includes Occupancy and equipment, Professional services, Data processing, Technology and information systems, and Other. All other non-interest expense for Mortgage primarily includes Data processing, Occupancy and equipment, and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15 – TAX CREDIT INVESTMENTS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invests in low-income housing tax credit (LIHTC) investments. As of June 30, 2026 and December 31, 2025, total unfunded commitments related to LIHTC investments totaled $1.8 million and $2.4 million, respectively. As of June 30, 2026 and December 31, 2025, the total balance of all LIHTC investments was $4.3 million and $4.2 million, respectively. These balances are reflected in the Other assets line item of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the proportional amortization method to account for this investment. Amortization expense is included within the Income tax expense line item of the Condensed Consolidated Statements of Income. During the three months ended June 30, 2026 and 2025, the Company recognized amortization expense of $0.2 million. During the six months ended June 30, 2026 and 2025, the Company recognized amortization expense of $0.4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$0.2 million of tax credits from the LIHTC investments. During the six months ended June 30, 2026 and 2025, the Company recognized $0.4 million of tax credits from the LIHTC investments. Additionally, during the three months ended June 30, 2026 and 2025, the Company recognized $37 thousand and $0.1 million of other benefits from the LIHTC investments, respectively. During the six months ended June 30, 2026 and 2025, the Company recognized $0.1 million of other benefits from the LIHTC investments,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incur any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16 – REGULATORY CAPITAL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First Western and the Bank are subject to various regulatory capital adequacy requirements administered by federal banking agencies. Failure to meet minimum capital requirements can initiate certain mandatory and possibly additional discretionary actions by regulators that, if undertaken, could have a direct material effect on the Company’s condensed consolidated financial statements. Under capital adequacy guidelines and, additionally for banks, the regulatory framework for prompt corrective action, First Western and the Bank must meet specific capital guidelines that involve quantitative measures of their assets, liabilities, and certain off-balance sheet items as calculated under regulatory accounting practices.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First Western and the Bank’s capital amounts and classification are also subject to qualitative judgments by the regulators regarding components, risk weightings, and other factors. The final rules implementing Basel Committee on Banking Supervision’s capital guidelines for U.S. banks (Basel III) have been fully phased in. The net unrealized gain or loss on HTM securities included in AOCI and accumulated net gains or losses on cash flow hedges are not included in computing regulatory capital. During the six months ended June 30, 2026 and the year ended December 31, 2025, First Western made no capital injections into the Bank. Management believes as of June 30, 2026, First Western and the Bank meet all capital adequacy requirements to which they are subject.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Prompt corrective action regulations for First Western and the Bank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standard ratios established by First Western and the Bank’s primary regulators to measure capital require First Western and the Bank to maintain minimum amounts and ratios, set forth in the following table. These ratios are common equity Tier 1 capital (CET1), Tier 1 capital and total capital (as defined in the regulations) to risk-weighted assets (as defined), and Tier 1 capital (as defined) to average assets (as defined).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actual capital ratios of First Western and the Bank, along with the applicable regulatory capital requirements as of June 30, 2026, were calculated in accordance with the requirements of Basel III. The final rules of Basel III also established a “capital conservation buffer” of 2.5% above new regulatory minimum capital ratios. The minimum capital ratios inclusive of the capital conservation buffer are as follows: (i) a CET1 ratio of 7.0%; (ii) a Tier 1 capital ratio of 8.5%; and (iii) a total capital ratio of 10.5%. Banks are subject to limitations on paying dividends, engaging in share repurchases, and paying discretionary bonuses if its capital level falls below the buffer amount. These limitations establish a maximum percentage of eligible retained income that can be utilized for such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most recent filings with the FDIC categorized the Bank as well capitalized under the regulatory guidelines. To be categorized as well capitalized, an institution must maintain minimum CET1 risk-based, Tier 1 risk-based, total risk-based, and Tier 1 leverage ratios as set forth in the following table. Management believes there are no conditions or events since June 30, 2026, that have changed the categorization of First Western and the Bank as well capitalized. Management believes First Western and the Bank met all capital adequacy requirements to which it was subject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actual and required capital amounts and ratios as of dates noted (dollars in thousands):</w:t>
      </w:r>
    </w:p>
    <w:tbl>
      <w:tblPr>
        <w:tblW w:w="10134" w:type="dxa"/>
        <w:jc w:val="left"/>
        <w:tblInd w:w="0" w:type="dxa"/>
        <w:tblLayout w:type="fixed"/>
        <w:tblCellMar>
          <w:top w:w="28" w:type="dxa"/>
          <w:left w:w="28" w:type="dxa"/>
          <w:bottom w:w="28" w:type="dxa"/>
          <w:right w:w="28" w:type="dxa"/>
        </w:tblCellMar>
      </w:tblPr>
      <w:tblGrid>
        <w:gridCol w:w="973"/>
        <w:gridCol w:w="857"/>
        <w:gridCol w:w="869"/>
        <w:gridCol w:w="109"/>
        <w:gridCol w:w="109"/>
        <w:gridCol w:w="109"/>
        <w:gridCol w:w="196"/>
        <w:gridCol w:w="736"/>
        <w:gridCol w:w="109"/>
        <w:gridCol w:w="109"/>
        <w:gridCol w:w="109"/>
        <w:gridCol w:w="109"/>
        <w:gridCol w:w="278"/>
        <w:gridCol w:w="278"/>
        <w:gridCol w:w="301"/>
        <w:gridCol w:w="109"/>
        <w:gridCol w:w="109"/>
        <w:gridCol w:w="109"/>
        <w:gridCol w:w="196"/>
        <w:gridCol w:w="736"/>
        <w:gridCol w:w="109"/>
        <w:gridCol w:w="109"/>
        <w:gridCol w:w="109"/>
        <w:gridCol w:w="109"/>
        <w:gridCol w:w="188"/>
        <w:gridCol w:w="188"/>
        <w:gridCol w:w="301"/>
        <w:gridCol w:w="109"/>
        <w:gridCol w:w="109"/>
        <w:gridCol w:w="109"/>
        <w:gridCol w:w="196"/>
        <w:gridCol w:w="736"/>
        <w:gridCol w:w="109"/>
        <w:gridCol w:w="109"/>
        <w:gridCol w:w="109"/>
        <w:gridCol w:w="109"/>
        <w:gridCol w:w="233"/>
        <w:gridCol w:w="233"/>
        <w:gridCol w:w="350"/>
      </w:tblGrid>
      <w:tr>
        <w:trPr/>
        <w:tc>
          <w:tcPr>
            <w:tcW w:w="97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Required for Capital</w:t>
            </w:r>
          </w:p>
          <w:p>
            <w:pPr>
              <w:pStyle w:val="TableContents"/>
              <w:bidi w:val="0"/>
              <w:spacing w:lineRule="auto" w:line="288" w:before="0" w:after="0"/>
              <w:jc w:val="center"/>
              <w:rPr/>
            </w:pPr>
            <w:r>
              <w:rPr>
                <w:rFonts w:ascii="Times New Roman;serif" w:hAnsi="Times New Roman;serif"/>
                <w:b/>
                <w:color w:val="000000"/>
                <w:sz w:val="16"/>
              </w:rPr>
              <w:t>Adequacy Purposes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 be Well Capitalized </w:t>
              <w:br/>
              <w:t xml:space="preserve">Under Prompt </w:t>
              <w:br/>
              <w:t xml:space="preserve">Corrective Action </w:t>
              <w:br/>
              <w:t xml:space="preserve">Regulations </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r>
      <w:tr>
        <w:trPr/>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CET1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Bank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134" w:type="dxa"/>
        <w:jc w:val="left"/>
        <w:tblInd w:w="0" w:type="dxa"/>
        <w:tblLayout w:type="fixed"/>
        <w:tblCellMar>
          <w:top w:w="28" w:type="dxa"/>
          <w:left w:w="28" w:type="dxa"/>
          <w:bottom w:w="28" w:type="dxa"/>
          <w:right w:w="28" w:type="dxa"/>
        </w:tblCellMar>
      </w:tblPr>
      <w:tblGrid>
        <w:gridCol w:w="975"/>
        <w:gridCol w:w="861"/>
        <w:gridCol w:w="863"/>
        <w:gridCol w:w="109"/>
        <w:gridCol w:w="109"/>
        <w:gridCol w:w="109"/>
        <w:gridCol w:w="196"/>
        <w:gridCol w:w="736"/>
        <w:gridCol w:w="109"/>
        <w:gridCol w:w="109"/>
        <w:gridCol w:w="109"/>
        <w:gridCol w:w="109"/>
        <w:gridCol w:w="278"/>
        <w:gridCol w:w="278"/>
        <w:gridCol w:w="301"/>
        <w:gridCol w:w="109"/>
        <w:gridCol w:w="109"/>
        <w:gridCol w:w="109"/>
        <w:gridCol w:w="196"/>
        <w:gridCol w:w="736"/>
        <w:gridCol w:w="109"/>
        <w:gridCol w:w="109"/>
        <w:gridCol w:w="109"/>
        <w:gridCol w:w="109"/>
        <w:gridCol w:w="188"/>
        <w:gridCol w:w="188"/>
        <w:gridCol w:w="301"/>
        <w:gridCol w:w="109"/>
        <w:gridCol w:w="109"/>
        <w:gridCol w:w="109"/>
        <w:gridCol w:w="196"/>
        <w:gridCol w:w="736"/>
        <w:gridCol w:w="109"/>
        <w:gridCol w:w="109"/>
        <w:gridCol w:w="109"/>
        <w:gridCol w:w="109"/>
        <w:gridCol w:w="233"/>
        <w:gridCol w:w="233"/>
        <w:gridCol w:w="350"/>
      </w:tblGrid>
      <w:tr>
        <w:trPr/>
        <w:tc>
          <w:tcPr>
            <w:tcW w:w="97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Required for Capital</w:t>
            </w:r>
          </w:p>
          <w:p>
            <w:pPr>
              <w:pStyle w:val="TableContents"/>
              <w:bidi w:val="0"/>
              <w:spacing w:lineRule="auto" w:line="288" w:before="0" w:after="0"/>
              <w:jc w:val="center"/>
              <w:rPr/>
            </w:pPr>
            <w:r>
              <w:rPr>
                <w:rFonts w:ascii="Times New Roman;serif" w:hAnsi="Times New Roman;serif"/>
                <w:b/>
                <w:color w:val="000000"/>
                <w:sz w:val="16"/>
              </w:rPr>
              <w:t>Adequacy Purposes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 be Well Capitalized </w:t>
              <w:br/>
              <w:t xml:space="preserve">Under Prompt </w:t>
              <w:br/>
              <w:t xml:space="preserve">Corrective Action </w:t>
              <w:br/>
              <w:t xml:space="preserve">Regulations </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Ratio </w:t>
            </w:r>
          </w:p>
        </w:tc>
      </w:tr>
      <w:tr>
        <w:trPr/>
        <w:tc>
          <w:tcPr>
            <w:tcW w:w="2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CET1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Bank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Does not include capital conservation buffer.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principal source of funds for dividend payments is dividends received from the Bank. Banking regulations limit the amount of dividends that may be paid without prior approval of regulatory agencies. As of June 30, 2026, $142.6 million of retained earnings is available to pay dividends from the Bank. As of June 30, 2026 and December 31, 2025, no dividends were declared and paid by the Bank.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is intended to assist readers in understanding our financial condition and results of operations for the three and six months ended June 30, 2026 and should be read in conjunction with our consolidated financial statements and the accompanying notes thereto included in this Quarterly Report on Form 10-Q (this "Form 10-Q") and in our Annual Report on Form 10-K filed with the SEC on February 27, 2026. Unless we state otherwise or the context otherwise requires, references in this Form 10-Q to "we," "our," "us," "the Company," and "First Western" refer to First Western Financial, Inc. and its consolidated subsidiaries, including First Western Trust Bank, which we sometimes refer to as "the Bank" or "our Bank."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See "Cautionary Note Regarding Forward-Looking Statements." Also, see the risk factors and other cautionary statements described under the heading "Item 1A - Risk Factors" included in our Annual Report Form 10-K filed with the SEC on February 27, 2026 and in Part II–Item 1A of this Form 10-Q. We do not undertake any obligation to publicly update any forward-looking statements except as otherwise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financial holding company founded in 2002 and headquartered in Denver, Colorado. We provide a fully integrated suite of wealth management services to our clients including banking, trust, and investment management products and services. Our mission is to be the best private bank for the Western wealth management client. We target entrepreneurs, professionals, and high-net worth individuals, typically with $1.0 million-plus in liquid net worth, and their related philanthropic and business organizations, which we refer to as the "Western wealth management client". We believe that the Western wealth management client shares our entrepreneurial spirit and values our sophisticated, high-touch wealth management services that are tailored to meet their specific needs. We partner with our clients to solve their unique financial needs through our expert integrated services provided in a team approach.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our services through a branded network of boutique private trust bank offices, which we believe are strategically located in affluent and high-growth markets in locations across Colorado, Arizona, Wyoming, Montana, and California. Our profit centers, which are comprised of private bankers, lenders, wealth planners, and portfolio managers, under the leadership of a president, are also supported centrally by teams providing management services such as operations, risk management, credit administration, marketing, technology support, human capital, and accounting/finance services, which we refer to as support centers.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2004, when we opened our first profit center, until June 30, 2026, we have expanded our footprint into fourteen full service profit centers, two loan production offices, and one trust office located across five states. As of and for the six months ended June 30, 2026, we had $3.24 billion in total assets, $56.9 million in Total income before non-interest expense, and provided fiduciary and advisory services on $7.28 billion of AUM.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Primary Factors Used to Evaluate the Results of Operations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As a financial institution, we manage and evaluate various aspects of both our results of operations and our financial condition. We evaluate the comparative levels and trends of the line items in our Condensed Consolidated Balance Sheets and Statements of Income as well as various financial ratios that are commonly used in our industry. The primary factors we use to evaluate our results of operations include net interest income, non-interest income, and non-interest expense.</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interest income represents interest income less interest expense. We generate interest income on interest-earning assets, primarily loans and investment securities. We incur interest expense on interest-bearing liabilities, primarily interest-bearing deposits and borrowings. To evaluate Net interest income, we measure and monitor: (i) yields on loans, investment securities, and other interest-earning assets; (ii) the costs of deposits and other funding sources; (iii) the rates incurred on borrowings and other interest-bearing liabilities; and (iv) the regulatory risk weighting associated with the assets. Interest income is primarily impacted by loan growth and loan repayments, along with changes in interest rates on the loans. Interest expense is primarily impacted by changes in deposit balances, changes in interest rates on deposits, and the volume and type of interest-bearing liabilities. Net interest income is primarily impacted by changes in market interest rates, the slope of the yield curve, and interest we earn on interest-earning assets or pay on interest-bearing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Non-interest income primarily consists of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Trust and investment management fees</w:t>
      </w:r>
      <w:r>
        <w:rPr>
          <w:color w:val="000000"/>
        </w:rPr>
        <w:t>—</w:t>
      </w:r>
      <w:r>
        <w:rPr>
          <w:rFonts w:ascii="Times New Roman;serif" w:hAnsi="Times New Roman;serif"/>
          <w:b w:val="false"/>
          <w:color w:val="000000"/>
          <w:sz w:val="20"/>
        </w:rPr>
        <w:t>fees and other sources of income charged to clients for managing their trust and investment assets, providing financial planning consulting services, 401(k) and retirement advisory consulting services, and other wealth management services. Trust and investment management fees are primarily impacted by rates charged and increases and decreases in AUM. AUM is primarily impacted by opening and closing of client advisory and trust accounts, contributions and withdrawals, and the fluctuations in market value.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Net gain on mortgage loans</w:t>
      </w:r>
      <w:r>
        <w:rPr>
          <w:color w:val="000000"/>
        </w:rPr>
        <w:t>—</w:t>
      </w:r>
      <w:r>
        <w:rPr>
          <w:rFonts w:ascii="Times New Roman;serif" w:hAnsi="Times New Roman;serif"/>
          <w:b w:val="false"/>
          <w:color w:val="000000"/>
          <w:sz w:val="20"/>
        </w:rPr>
        <w:t>gain on originating and selling mortgages and origination fees, less commissions to loan originators, document review, and other costs specific to originating and selling the loan. The market adjustments for IRLC, mortgage derivatives, and gains and losses incurred on the mandatory trading of loans are also included in this line item. Net gain on mortgage loans is primarily impacted by the amount of loans sold, the type of loans sold, and market conditions.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Net gain on loans accounted for under the fair value option</w:t>
      </w:r>
      <w:r>
        <w:rPr>
          <w:color w:val="000000"/>
        </w:rPr>
        <w:t>—</w:t>
      </w:r>
      <w:r>
        <w:rPr>
          <w:rFonts w:ascii="Times New Roman;serif" w:hAnsi="Times New Roman;serif"/>
          <w:b w:val="false"/>
          <w:color w:val="000000"/>
          <w:sz w:val="20"/>
        </w:rPr>
        <w:t>unrealized gains or losses on the fair value adjustments to held for investment loans on which the Bank has elected the fair value option of accounting. This also includes realized gains or losses on charge-offs and recoveries.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Bank fees</w:t>
      </w:r>
      <w:r>
        <w:rPr>
          <w:color w:val="000000"/>
        </w:rPr>
        <w:t>—</w:t>
      </w:r>
      <w:r>
        <w:rPr>
          <w:rFonts w:ascii="Times New Roman;serif" w:hAnsi="Times New Roman;serif"/>
          <w:b w:val="false"/>
          <w:color w:val="000000"/>
          <w:sz w:val="20"/>
        </w:rPr>
        <w:t>income generated through bank-related service charges such as: electronic transfer fees, treasury management fees, bill pay fees, loan prepayment penalty fees, loan interest rate swap fees, and other banking fees. Bank fees are primarily impacted by the level of business activities and cash movement activities of our clients.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Risk management and insurance fees</w:t>
      </w:r>
      <w:r>
        <w:rPr>
          <w:color w:val="000000"/>
        </w:rPr>
        <w:t>—</w:t>
      </w:r>
      <w:r>
        <w:rPr>
          <w:rFonts w:ascii="Times New Roman;serif" w:hAnsi="Times New Roman;serif"/>
          <w:b w:val="false"/>
          <w:color w:val="000000"/>
          <w:sz w:val="20"/>
        </w:rPr>
        <w:t>commissions earned on insurance policies we have placed for clients through our client risk management team who incorporate insurance services, primarily life insurance, to support our clients’ wealth planning needs. Our insurance revenues are primarily impacted by the type and volume of policies placed for our clients.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Income on company-owned life insurance</w:t>
      </w:r>
      <w:r>
        <w:rPr>
          <w:color w:val="000000"/>
        </w:rPr>
        <w:t>—</w:t>
      </w:r>
      <w:r>
        <w:rPr>
          <w:rFonts w:ascii="Times New Roman;serif" w:hAnsi="Times New Roman;serif"/>
          <w:b w:val="false"/>
          <w:color w:val="000000"/>
          <w:sz w:val="20"/>
        </w:rPr>
        <w:t>income earned on the growth of the cash surrender value of life insurance policies we hold on certain key associates. The income on the increase in the cash surrender value is non-taxable income.</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Non-interest expense is comprised primarily of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Salaries and employee benefits</w:t>
      </w:r>
      <w:r>
        <w:rPr>
          <w:color w:val="000000"/>
        </w:rPr>
        <w:t>—</w:t>
      </w:r>
      <w:r>
        <w:rPr>
          <w:rFonts w:ascii="Times New Roman;serif" w:hAnsi="Times New Roman;serif"/>
          <w:b w:val="false"/>
          <w:color w:val="000000"/>
          <w:sz w:val="20"/>
        </w:rPr>
        <w:t>all forms of compensation-related expenses including salary, incentive compensation, payroll-related taxes, stock-based compensation, benefit plans, health insurance, 401(k) plan match costs, and other benefit-related expenses. Salaries and employee benefit costs are primarily impacted by changes in headcount and fluctuations in benefits costs.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Occupancy and equipment</w:t>
      </w:r>
      <w:r>
        <w:rPr>
          <w:color w:val="000000"/>
        </w:rPr>
        <w:t>—</w:t>
      </w:r>
      <w:r>
        <w:rPr>
          <w:rFonts w:ascii="Times New Roman;serif" w:hAnsi="Times New Roman;serif"/>
          <w:b w:val="false"/>
          <w:color w:val="000000"/>
          <w:sz w:val="20"/>
        </w:rPr>
        <w:t>costs related to building and land maintenance, leasing our office space, depreciation charges for the buildings, building improvements, furniture, fixtures and equipment, amortization of leasehold improvements, utilities, and other occupancy-related expenses. Occupancy and equipment costs are primarily impacted by the number of locations we occupy.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Professional services</w:t>
      </w:r>
      <w:r>
        <w:rPr>
          <w:color w:val="000000"/>
        </w:rPr>
        <w:t>—</w:t>
      </w:r>
      <w:r>
        <w:rPr>
          <w:rFonts w:ascii="Times New Roman;serif" w:hAnsi="Times New Roman;serif"/>
          <w:b w:val="false"/>
          <w:color w:val="000000"/>
          <w:sz w:val="20"/>
        </w:rPr>
        <w:t>costs related to legal, accounting, tax, consulting, personnel recruiting, insurance, and other outsourcing arrangements. Professional services costs are primarily impacted by corporate activities requiring specialized services. FDIC insurance expense is also included in this line and represents the assessments we pay to the FDIC for deposit insurance.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Technology and information systems</w:t>
      </w:r>
      <w:r>
        <w:rPr>
          <w:color w:val="000000"/>
        </w:rPr>
        <w:t>—</w:t>
      </w:r>
      <w:r>
        <w:rPr>
          <w:rFonts w:ascii="Times New Roman;serif" w:hAnsi="Times New Roman;serif"/>
          <w:b w:val="false"/>
          <w:color w:val="000000"/>
          <w:sz w:val="20"/>
        </w:rPr>
        <w:t>costs related to software and information technology services to support office activities and internal networks. Technology and information system costs are primarily impacted by the number of locations we occupy, the number of associates we have, and the level of service we require from our third-party technology vendors.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Data processing</w:t>
      </w:r>
      <w:r>
        <w:rPr>
          <w:color w:val="000000"/>
        </w:rPr>
        <w:t>—</w:t>
      </w:r>
      <w:r>
        <w:rPr>
          <w:rFonts w:ascii="Times New Roman;serif" w:hAnsi="Times New Roman;serif"/>
          <w:b w:val="false"/>
          <w:color w:val="000000"/>
          <w:sz w:val="20"/>
        </w:rPr>
        <w:t>costs related to processing fees paid to our third-party data processing system providers relating to our core private trust banking platform. Data processing costs are primarily impacted by the number of loan, deposit, and trust accounts we have and the level of transactions processed for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Marketing</w:t>
      </w:r>
      <w:r>
        <w:rPr>
          <w:color w:val="000000"/>
        </w:rPr>
        <w:t>—</w:t>
      </w:r>
      <w:r>
        <w:rPr>
          <w:rFonts w:ascii="Times New Roman;serif" w:hAnsi="Times New Roman;serif"/>
          <w:b w:val="false"/>
          <w:color w:val="000000"/>
          <w:sz w:val="20"/>
        </w:rPr>
        <w:t>costs related to promoting our business through advertising, promotions, charitable events, sponsorships, donations, and other marketing-related expenses. Marketing costs are primarily impacted by the levels of advertising programs and other marketing activities and events held throughout the year.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Amortization of other intangible assets</w:t>
      </w:r>
      <w:r>
        <w:rPr>
          <w:color w:val="000000"/>
        </w:rPr>
        <w:t>—</w:t>
      </w:r>
      <w:r>
        <w:rPr>
          <w:rFonts w:ascii="Times New Roman;serif" w:hAnsi="Times New Roman;serif"/>
          <w:b w:val="false"/>
          <w:color w:val="000000"/>
          <w:sz w:val="20"/>
        </w:rPr>
        <w:t>primarily represents the amortization of intangible assets including client lists, core deposit intangibles, and other similar items recognized in connection with acquisitions.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Other</w:t>
      </w:r>
      <w:r>
        <w:rPr>
          <w:color w:val="000000"/>
        </w:rPr>
        <w:t>—</w:t>
      </w:r>
      <w:r>
        <w:rPr>
          <w:rFonts w:ascii="Times New Roman;serif" w:hAnsi="Times New Roman;serif"/>
          <w:b w:val="false"/>
          <w:color w:val="000000"/>
          <w:sz w:val="20"/>
        </w:rPr>
        <w:t>includes costs related to operational expenses associated with office supplies, postage, travel expenses, meals and entertainment, dues and memberships, costs to maintain or prepare OREO for sale, changes in OREO valuations subsequent to the initial acquisition when updated fair values are lower than the cost basis, director compensation and travel, and other general corporate expenses that do not fit within one of the specific non-interest expense lines described above. Other operational expenses are generally impacted by our business activities and needs.</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Operating Segments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consist of Wealth Management and Mortgage. We measure the overall profitability of operating segments based on Income before income tax. We believe this is a more useful measurement as our wealth management products and services are fully integrated with our private trust bank. We allocate costs to our segments, which consist primarily of compensation and overhead expense directly attributable to the products and services within the Wealth Management and Mortgage segments. We measure the profitability of each segment based on a post-allocation basis, as we believe it better approximates the operating cash flows generated by our reportable operating segments. A description of each segment is provided in Note 14 – Segment Reporting of the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Primary Factors Used to Evaluate our Balance Sheet</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primary factors we use to evaluate our balance sheet include asset and liability levels, asset quality, capital, liquidity, and potential profit production from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manage our asset levels to ensure our lending initiatives are efficiently and profitably supported and to ensure we have the necessary liquidity and capital to meet the required regulatory capital ratios. Funding needs are evaluated and forecasted by communicating with clients, reviewing loan maturity and draw expectations, and projecting new loan opportunities.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manage the diversification and quality of our assets based upon factors that include the level, distribution, severity, and trend of problem assets such as those determined to be classified, delinquent, non-accrual, non-performing or restructured; the adequacy of our ACL; the diversification and quality of loan and investment portfolios; and the extent of counterparty risks, credit risk concentrations, and other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manage our liquidity based upon factors that include the level and quality of capital and our overall financial condition, the trend and volume of problem assets, our balance sheet risk exposure, the level of deposits as a percentage of total loans, the amount of non-deposit funding used to fund assets, the availability of unused funding sources and off-balance sheet obligations, the availability of assets to be readily converted into cash without undue loss, the amount of cash and liquid securities we hold, and other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Financial institution regulators have established guidelines for minimum capital ratios for banks and bank holding companies. The Company has adopted the Basel III regulatory capital framework. As of June 30, 2026, the Bank’s capital ratios exceeded the current well capitalized regulatory requirements established under Basel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240" w:after="120"/>
        <w:jc w:val="both"/>
        <w:rPr/>
      </w:pPr>
      <w:r>
        <w:rPr>
          <w:rFonts w:ascii="Times New Roman;serif" w:hAnsi="Times New Roman;serif"/>
          <w:b w:val="false"/>
          <w:i/>
          <w:color w:val="000000"/>
          <w:sz w:val="20"/>
        </w:rPr>
        <w:t>The three months ended June 30, 2026 compared with the three months ended June 30, 2025.</w:t>
      </w:r>
      <w:r>
        <w:rPr>
          <w:color w:val="000000"/>
        </w:rPr>
        <w:t xml:space="preserve"> </w:t>
      </w:r>
      <w:r>
        <w:rPr>
          <w:rFonts w:ascii="Times New Roman;serif" w:hAnsi="Times New Roman;serif"/>
          <w:b w:val="false"/>
          <w:color w:val="000000"/>
          <w:sz w:val="20"/>
        </w:rPr>
        <w:t>We reported Net income available to common shareholders of $5.7 million for the three months ended June 30, 2026, compared to $2.5 million of Net income available to common shareholders for the three months ended June 30, 2025, a $3.2 million, or 128.0% increase. For the three months ended June 30, 2026, our Income before income tax was $7.4 million, a $4.1 million, or 124.2% increase from the three months ended June 30, 2025. The increase was primarily driven by a $3.9 million increase in Net interest income and a $2.2 million decrease in Provision for credit losses, partially offset by a $2.1 million increase in Non-interest expense.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increase in Net interest income was driven by a 23 basis point increase in net interest margin and an increase in average interest-earnings assets. The increase in net interest margin was primarily due to a 26 basis point decrease in total cost of funds as a result of reducing deposit rates commensurate with the short-term rate decreases in 2025 and runoff of higher cost deposit accounts.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decrease in Provision for credit losses was driven by a Release of provision for credit losses in the three months ended June 30, 2026 versus a Provision for credit losses in the three months ended June 30, 2025. The Release of provision for credit losses in the three months ended June 30, 2026 was primarily driven by reductions in specific reserves due to pay downs and a decrease in general reserves resulting from improved economic forecasts, partially offset by loan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increase in Non-interest expense was primarily driven by increases in Salaries and employee benefits and Technology and information systems, partially offset by a decrease in Professional services. The increase in Salaries and employee benefits was primarily due to an increase in average headcount and an increase in bonus accruals a result of balance sheet growth and improved earnings. The increase in Technology and information systems was primarily attributable to a $0.4 million nonrecurring charge related to the write-off of certain previously capitalized technology assets. The decrease in Professional services was primarily driven by decreases in legal expenses, recruiting expenses, and FDIC insurance fees.</w:t>
      </w:r>
    </w:p>
    <w:p>
      <w:pPr>
        <w:pStyle w:val="TextBody"/>
        <w:bidi w:val="0"/>
        <w:spacing w:lineRule="auto" w:line="288" w:before="240" w:after="120"/>
        <w:jc w:val="both"/>
        <w:rPr/>
      </w:pPr>
      <w:r>
        <w:rPr>
          <w:rFonts w:ascii="Times New Roman;serif" w:hAnsi="Times New Roman;serif"/>
          <w:b w:val="false"/>
          <w:i/>
          <w:color w:val="000000"/>
          <w:sz w:val="20"/>
        </w:rPr>
        <w:t>The six months ended June 30, 2026 compared with the six months ended June 30, 2025.</w:t>
      </w:r>
      <w:r>
        <w:rPr>
          <w:color w:val="000000"/>
        </w:rPr>
        <w:t xml:space="preserve"> </w:t>
      </w:r>
      <w:r>
        <w:rPr>
          <w:rFonts w:ascii="Times New Roman;serif" w:hAnsi="Times New Roman;serif"/>
          <w:b w:val="false"/>
          <w:color w:val="000000"/>
          <w:sz w:val="20"/>
        </w:rPr>
        <w:t>We reported Net income available to common shareholders of $11.9 million for the six months ended June 30, 2026, compared to $6.7 million of Net income available to common shareholders for the six months ended June 30, 2025, a $5.2 million, or 77.6% increase. For the six months ended June 30, 2026, our Income before income tax was $15.5 million, a $6.8 million, or 78.2% increase from the six months ended June 30, 2025. The increase was primarily driven by a $7.3 million increase in Net interest income and a $3.1 million decrease in Provision for credit losses, partially offset by a $2.9 million increase in Non-interest expense and a $0.6 million decrease in Non-interest income.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increase in Net interest income was driven by a 22 basis point increase in net interest margin and an increase in average interest-earning assets. The increase in net interest margin was primarily due to a 25 basis point decrease in total cost of funds as a result of reducing deposit rates commensurate with the short-term rate decreases in 2025 and runoff of higher cost deposit accounts.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decrease in Provision for credit losses was primarily driven by a release of provision for credit losses in the six months ended June 30, 2026 versus a provision for credit losses in the six months ended June 30, 2025. The release of provision for credit losses in the six months ended June 30, 2026 was primarily driven by reductions in specific reserves due to a credit event resolution of an individually analyzed loan and pay downs, partially offset by loan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increase in Non-interest expense was primarily driven by increases in Salaries and employee benefits and Technology and information systems, partially offset by decreases in Occupancy and equipment and Professional services. The increase in Salaries and employee benefits was primarily due to an increase in average headcount and an increase in bonus accruals as a result of balance sheet growth and improved earnings. The increase in Technology and information systems was primarily attributable to a $0.4 million nonrecurring charge related to the write-off of certain previously capitalized technology assets. The decrease in Occupancy and equipment was driven by a decrease in variable lease expenses. The decrease in Professional services was primarily driven by decreases in legal expenses, recruiting expenses, and FDIC insurance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decrease in Non-interest income was primarily driven by decreases in Net gain on other real estate owned due to the sale of two OREO properties in the first quarter of 2025 at a net gain, Other primarily due to changes in interest rate swap fair values, and Net gain on loans held for sale, partially offset by an increase in Trust and investment management fees primarily driven by increases in fee income from Investment Agency and Managed Trust accounts.</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240" w:after="120"/>
        <w:jc w:val="both"/>
        <w:rPr/>
      </w:pPr>
      <w:r>
        <w:rPr>
          <w:rFonts w:ascii="Times New Roman;serif" w:hAnsi="Times New Roman;serif"/>
          <w:b w:val="false"/>
          <w:i/>
          <w:color w:val="000000"/>
          <w:sz w:val="20"/>
        </w:rPr>
        <w:t>The three months ended June 30, 2026 compared with the three months ended June 30, 2025.</w:t>
      </w:r>
      <w:r>
        <w:rPr>
          <w:color w:val="000000"/>
        </w:rPr>
        <w:t xml:space="preserve"> </w:t>
      </w:r>
      <w:r>
        <w:rPr>
          <w:rFonts w:ascii="Times New Roman;serif" w:hAnsi="Times New Roman;serif"/>
          <w:b w:val="false"/>
          <w:color w:val="000000"/>
          <w:sz w:val="20"/>
        </w:rPr>
        <w:t>For the three months ended June 30, 2026, Net interest income, before the Provision for credit losses, was $21.8 million, an increase of $3.9 million, or 21.8%, compared to the three months ended June 30, 2025. The increase was primarily driven by a 23 basis point increase in net interest margin and a $322 million increase in average interest-earning assets. The increase in net interest margin was primarily driven by a 26 basis point decrease in total cost of funds.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interest and dividend income increased $4.4 million, or 11.6%, during the three months ended June 30, 2026 compared to the same period in 2025, primarily due to a $322 million increase in average interest-earning assets, partially offset by a 2 basis point decrease in the average interest-earning assets yield. The increase in average interest-earning assets was primarily driven by increases in average loans of $268.6 million and debt securities of $82.3 million, partially offset by a decrease in average interest-bearings deposits in other financial institutions of $29.3 million. The decrease in the average interest-earning assets yield was primarily driven by a 74 basis point decrease in yield from interest-bearing deposits in other financial institutions due to the lower interest rate environment, partially offset by increases in average debt security and loan yields of 58 basis points and 2 basis points,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Interest-bearing deposits increased $0.8 million, or 4.2%, during the three months ended June 30, 2026 compared to the same period in 2025, primarily due to a $320 million increase in average interest-bearing deposits, partially offset by lower deposit rates. The increase in average interest-bearing deposits was driven by increases in money market deposit accounts and time deposit accounts. Average interest-bearing deposit rates were 3.22% for the three months ended June 30, 2026, compared to 3.57% for the three months ended June 30, 2025. The decrease in average interest-bearing deposit rates was primarily attributable to reducing deposit rates commensurate with the short-term rate decreases in 2025 and runoff of higher cost deposit accounts.</w:t>
      </w:r>
    </w:p>
    <w:p>
      <w:pPr>
        <w:pStyle w:val="TextBody"/>
        <w:bidi w:val="0"/>
        <w:spacing w:lineRule="auto" w:line="288" w:before="0" w:after="120"/>
        <w:jc w:val="both"/>
        <w:rPr/>
      </w:pPr>
      <w:r>
        <w:rPr>
          <w:rFonts w:ascii="Times New Roman;serif" w:hAnsi="Times New Roman;serif"/>
          <w:b w:val="false"/>
          <w:i/>
          <w:color w:val="000000"/>
          <w:sz w:val="20"/>
        </w:rPr>
        <w:t>The six months ended June 30, 2026 compared with the six</w:t>
      </w:r>
      <w:r>
        <w:rPr>
          <w:color w:val="000000"/>
        </w:rPr>
        <w:t xml:space="preserve"> </w:t>
      </w:r>
      <w:r>
        <w:rPr>
          <w:rFonts w:ascii="Times New Roman;serif" w:hAnsi="Times New Roman;serif"/>
          <w:b w:val="false"/>
          <w:i/>
          <w:color w:val="000000"/>
          <w:sz w:val="20"/>
        </w:rPr>
        <w:t>months ended June 30, 2025.</w:t>
      </w:r>
      <w:r>
        <w:rPr>
          <w:color w:val="000000"/>
        </w:rPr>
        <w:t xml:space="preserve"> </w:t>
      </w:r>
      <w:r>
        <w:rPr>
          <w:rFonts w:ascii="Times New Roman;serif" w:hAnsi="Times New Roman;serif"/>
          <w:b w:val="false"/>
          <w:color w:val="000000"/>
          <w:sz w:val="20"/>
        </w:rPr>
        <w:t>For the six months ended June 30, 2026, Net interest income, before Provision for credit losses, was $42.6 million, an increase of $7.3 million, or 20.7%, compared to the six months ended June 30, 2025. The increase was primarily driven by a 22 basis point increase in net interest margin and a $310.9 million increase in average interest-earning assets. The increase in net interest margin was primarily driven by a 25 basis point decrease in total cost of funds.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interest and dividend income increased $8.2 million, or 11.0%, during the six months ended June 30, 2026 compared to the same period in 2025, primarily due to a $311 million increase in average interest-earning assets, partially offset by a 3 basis point decrease in the average interest-earning assets yield. The increase in average interest-earning assets was driven by increases in average loans of $273 million and debt securities of $72.6 million, partially offset by a decrease in average interest-bearing deposits in other financial institutions of $41.8 million. The decrease in the average interest-earning assets yield was primarily driven by a 78 basis point decrease in interest-bearing deposits in other financial institutions due to the lower interest rate environment, partially offset by increases in average debt security and loan yields of 60 basis points and 1 basis point,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Interest-bearing deposits increased $1.3 million, or 3.5%, during the six months ended June 30, 2026 compared to the same period in 2025, primarily due to a $308 million increase in average interest-bearing deposits, partially offset by lower deposit rates. The increase in average interest-bearing deposits was primarily driven by an increase in money market deposit accounts, partially offset by a decrease in time deposits. Average interest-bearing deposit rates were 3.22% for the six months ended June 30, 2026, compared to 3.58% for the six months ended June 30, 2025. The decrease in the average Interest-bearing deposits rate was primarily attributable to reducing deposit rates commensurate with short-term rate decreases in 2025 and runoff of higher cost deposit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an analysis of Net interest income and net interest margin during the periods presented, using daily average balances for each major category of interest-earning assets and interest-bearing liabilities, the interest earned or paid, and the average rate earned or paid on those assets or liabilities:</w:t>
      </w:r>
    </w:p>
    <w:tbl>
      <w:tblPr>
        <w:tblW w:w="10205" w:type="dxa"/>
        <w:jc w:val="left"/>
        <w:tblInd w:w="0" w:type="dxa"/>
        <w:tblLayout w:type="fixed"/>
        <w:tblCellMar>
          <w:top w:w="28" w:type="dxa"/>
          <w:left w:w="28" w:type="dxa"/>
          <w:bottom w:w="28" w:type="dxa"/>
          <w:right w:w="28" w:type="dxa"/>
        </w:tblCellMar>
      </w:tblPr>
      <w:tblGrid>
        <w:gridCol w:w="1156"/>
        <w:gridCol w:w="716"/>
        <w:gridCol w:w="654"/>
        <w:gridCol w:w="196"/>
        <w:gridCol w:w="871"/>
        <w:gridCol w:w="109"/>
        <w:gridCol w:w="109"/>
        <w:gridCol w:w="109"/>
        <w:gridCol w:w="109"/>
        <w:gridCol w:w="196"/>
        <w:gridCol w:w="646"/>
        <w:gridCol w:w="109"/>
        <w:gridCol w:w="109"/>
        <w:gridCol w:w="109"/>
        <w:gridCol w:w="109"/>
        <w:gridCol w:w="233"/>
        <w:gridCol w:w="233"/>
        <w:gridCol w:w="400"/>
        <w:gridCol w:w="109"/>
        <w:gridCol w:w="109"/>
        <w:gridCol w:w="109"/>
        <w:gridCol w:w="196"/>
        <w:gridCol w:w="871"/>
        <w:gridCol w:w="109"/>
        <w:gridCol w:w="109"/>
        <w:gridCol w:w="109"/>
        <w:gridCol w:w="109"/>
        <w:gridCol w:w="196"/>
        <w:gridCol w:w="646"/>
        <w:gridCol w:w="109"/>
        <w:gridCol w:w="109"/>
        <w:gridCol w:w="109"/>
        <w:gridCol w:w="109"/>
        <w:gridCol w:w="233"/>
        <w:gridCol w:w="233"/>
        <w:gridCol w:w="458"/>
      </w:tblGrid>
      <w:tr>
        <w:trPr/>
        <w:tc>
          <w:tcPr>
            <w:tcW w:w="115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June 30,</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pPr>
            <w:r>
              <w:rPr>
                <w:rFonts w:ascii="Times New Roman;serif" w:hAnsi="Times New Roman;serif"/>
                <w:b/>
                <w:color w:val="000000"/>
                <w:sz w:val="16"/>
              </w:rPr>
              <w:t>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pPr>
            <w:r>
              <w:rPr>
                <w:rFonts w:ascii="Times New Roman;serif" w:hAnsi="Times New Roman;serif"/>
                <w:b/>
                <w:color w:val="000000"/>
                <w:sz w:val="16"/>
              </w:rPr>
              <w:t>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 xml:space="preserve">Yield / </w:t>
              <w:br/>
              <w:t xml:space="preserve">Rate </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financial institutions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Correspondent bank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Mortgage loans held for sale</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interest-earning assets</w:t>
            </w:r>
            <w:r>
              <w:rPr>
                <w:rFonts w:ascii="Times New Roman;serif" w:hAnsi="Times New Roman;serif"/>
                <w:b w:val="false"/>
                <w:color w:val="000000"/>
                <w:sz w:val="12"/>
              </w:rPr>
              <w:t>(4)</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3,007,310 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2,685,039 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3,128,694 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2,809,536 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Federal Reserve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noninterest-bearing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3,128,694 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2,809,536 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rate spread</w:t>
            </w:r>
            <w:r>
              <w:rPr>
                <w:rFonts w:ascii="Times New Roman;serif" w:hAnsi="Times New Roman;serif"/>
                <w:b w:val="false"/>
                <w:color w:val="000000"/>
                <w:sz w:val="12"/>
              </w:rPr>
              <w:t>(5)</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income</w:t>
            </w:r>
            <w:r>
              <w:rPr>
                <w:rFonts w:ascii="Times New Roman;serif" w:hAnsi="Times New Roman;serif"/>
                <w:b w:val="false"/>
                <w:color w:val="000000"/>
                <w:sz w:val="12"/>
              </w:rPr>
              <w:t>(6)</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(7)</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56"/>
        <w:gridCol w:w="716"/>
        <w:gridCol w:w="654"/>
        <w:gridCol w:w="196"/>
        <w:gridCol w:w="871"/>
        <w:gridCol w:w="109"/>
        <w:gridCol w:w="109"/>
        <w:gridCol w:w="109"/>
        <w:gridCol w:w="109"/>
        <w:gridCol w:w="196"/>
        <w:gridCol w:w="646"/>
        <w:gridCol w:w="109"/>
        <w:gridCol w:w="109"/>
        <w:gridCol w:w="109"/>
        <w:gridCol w:w="109"/>
        <w:gridCol w:w="233"/>
        <w:gridCol w:w="233"/>
        <w:gridCol w:w="400"/>
        <w:gridCol w:w="109"/>
        <w:gridCol w:w="109"/>
        <w:gridCol w:w="109"/>
        <w:gridCol w:w="196"/>
        <w:gridCol w:w="871"/>
        <w:gridCol w:w="109"/>
        <w:gridCol w:w="109"/>
        <w:gridCol w:w="109"/>
        <w:gridCol w:w="109"/>
        <w:gridCol w:w="196"/>
        <w:gridCol w:w="646"/>
        <w:gridCol w:w="109"/>
        <w:gridCol w:w="109"/>
        <w:gridCol w:w="109"/>
        <w:gridCol w:w="109"/>
        <w:gridCol w:w="233"/>
        <w:gridCol w:w="233"/>
        <w:gridCol w:w="458"/>
      </w:tblGrid>
      <w:tr>
        <w:trPr/>
        <w:tc>
          <w:tcPr>
            <w:tcW w:w="115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pPr>
            <w:r>
              <w:rPr>
                <w:rFonts w:ascii="Times New Roman;serif" w:hAnsi="Times New Roman;serif"/>
                <w:b/>
                <w:color w:val="000000"/>
                <w:sz w:val="16"/>
              </w:rPr>
              <w:t>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pPr>
            <w:r>
              <w:rPr>
                <w:rFonts w:ascii="Times New Roman;serif" w:hAnsi="Times New Roman;serif"/>
                <w:b/>
                <w:color w:val="000000"/>
                <w:sz w:val="16"/>
              </w:rPr>
              <w:t>Balance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 xml:space="preserve">Yield / </w:t>
              <w:br/>
              <w:t>Rate</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financial institutions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Correspondent bank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Mortgage loans held for sale</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interest-earning assets</w:t>
            </w:r>
            <w:r>
              <w:rPr>
                <w:rFonts w:ascii="Times New Roman;serif" w:hAnsi="Times New Roman;serif"/>
                <w:b w:val="false"/>
                <w:color w:val="000000"/>
                <w:sz w:val="12"/>
              </w:rPr>
              <w:t>(4)</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2,697,180 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3,130,709 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Federal Reserve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noninterest-bearing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254,716 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3,130,709 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rate spread</w:t>
            </w:r>
            <w:r>
              <w:rPr>
                <w:rFonts w:ascii="Times New Roman;serif" w:hAnsi="Times New Roman;serif"/>
                <w:b w:val="false"/>
                <w:color w:val="000000"/>
                <w:sz w:val="12"/>
              </w:rPr>
              <w:t>(5)</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income</w:t>
            </w:r>
            <w:r>
              <w:rPr>
                <w:rFonts w:ascii="Times New Roman;serif" w:hAnsi="Times New Roman;serif"/>
                <w:b w:val="false"/>
                <w:color w:val="000000"/>
                <w:sz w:val="12"/>
              </w:rPr>
              <w:t>(6)</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(7)</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Average balance represents daily averages.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Non-accrual loans are included in the respective average loan balances. Income, if any, is not recognized until all principal has been repaid.</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Mortgage loans held for sale are included in the interest-earning assets above, with interest income recognized in the Interest and dividend income on loans, including fees line in the Condensed Consolidated Statements of Income. These balances are included in the margin calculations in these tables.</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Tax-equivalent yield adjustments are immaterial.</w:t>
      </w:r>
    </w:p>
    <w:p>
      <w:pPr>
        <w:pStyle w:val="TextBody"/>
        <w:bidi w:val="0"/>
        <w:spacing w:lineRule="auto" w:line="288" w:before="0" w:after="0"/>
        <w:ind w:left="0" w:right="0" w:hanging="180"/>
        <w:jc w:val="both"/>
        <w:rPr/>
      </w:pPr>
      <w:r>
        <w:rPr>
          <w:rFonts w:ascii="Times New Roman;serif" w:hAnsi="Times New Roman;serif"/>
          <w:b w:val="false"/>
          <w:color w:val="000000"/>
          <w:sz w:val="10"/>
        </w:rPr>
        <w:t>(5)</w:t>
      </w:r>
      <w:r>
        <w:rPr>
          <w:rFonts w:ascii="Times New Roman;serif" w:hAnsi="Times New Roman;serif"/>
          <w:b w:val="false"/>
          <w:color w:val="000000"/>
          <w:sz w:val="16"/>
        </w:rPr>
        <w:t>Net interest spread is the average yield on interest-earning assets minus the average rate on interest-bearing liabilities.</w:t>
      </w:r>
    </w:p>
    <w:p>
      <w:pPr>
        <w:pStyle w:val="TextBody"/>
        <w:bidi w:val="0"/>
        <w:spacing w:lineRule="auto" w:line="288" w:before="0" w:after="0"/>
        <w:ind w:left="0" w:right="0" w:hanging="180"/>
        <w:jc w:val="both"/>
        <w:rPr/>
      </w:pPr>
      <w:r>
        <w:rPr>
          <w:rFonts w:ascii="Times New Roman;serif" w:hAnsi="Times New Roman;serif"/>
          <w:b w:val="false"/>
          <w:color w:val="000000"/>
          <w:sz w:val="10"/>
        </w:rPr>
        <w:t>(6)</w:t>
      </w:r>
      <w:r>
        <w:rPr>
          <w:rFonts w:ascii="Times New Roman;serif" w:hAnsi="Times New Roman;serif"/>
          <w:b w:val="false"/>
          <w:color w:val="000000"/>
          <w:sz w:val="16"/>
        </w:rPr>
        <w:t>Net interest income is the difference between income earned on interest-earning assets and expense paid on interest-bearing liabilities.</w:t>
      </w:r>
    </w:p>
    <w:p>
      <w:pPr>
        <w:pStyle w:val="TextBody"/>
        <w:bidi w:val="0"/>
        <w:spacing w:lineRule="auto" w:line="288" w:before="0" w:after="0"/>
        <w:ind w:left="0" w:right="0" w:hanging="180"/>
        <w:jc w:val="both"/>
        <w:rPr/>
      </w:pPr>
      <w:r>
        <w:rPr>
          <w:rFonts w:ascii="Times New Roman;serif" w:hAnsi="Times New Roman;serif"/>
          <w:b w:val="false"/>
          <w:color w:val="000000"/>
          <w:sz w:val="10"/>
        </w:rPr>
        <w:t>(7)</w:t>
      </w:r>
      <w:r>
        <w:rPr>
          <w:rFonts w:ascii="Times New Roman;serif" w:hAnsi="Times New Roman;serif"/>
          <w:b w:val="false"/>
          <w:color w:val="000000"/>
          <w:sz w:val="16"/>
        </w:rPr>
        <w:t>Net interest margin is equal to annualized net interest income divided by average interest-earning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dollar amount of changes in interest income and interest expense during the periods presented for each component of interest-earning assets and interest-bearing liabilities, and distinguishes between changes attributable to volume and interest rates. Changes attributable to both rate and volume that cannot be separated have been allocated to volume:</w:t>
      </w:r>
    </w:p>
    <w:tbl>
      <w:tblPr>
        <w:tblW w:w="10205" w:type="dxa"/>
        <w:jc w:val="left"/>
        <w:tblInd w:w="0" w:type="dxa"/>
        <w:tblLayout w:type="fixed"/>
        <w:tblCellMar>
          <w:top w:w="28" w:type="dxa"/>
          <w:left w:w="28" w:type="dxa"/>
          <w:bottom w:w="28" w:type="dxa"/>
          <w:right w:w="28" w:type="dxa"/>
        </w:tblCellMar>
      </w:tblPr>
      <w:tblGrid>
        <w:gridCol w:w="1114"/>
        <w:gridCol w:w="922"/>
        <w:gridCol w:w="887"/>
        <w:gridCol w:w="209"/>
        <w:gridCol w:w="594"/>
        <w:gridCol w:w="115"/>
        <w:gridCol w:w="115"/>
        <w:gridCol w:w="115"/>
        <w:gridCol w:w="115"/>
        <w:gridCol w:w="209"/>
        <w:gridCol w:w="652"/>
        <w:gridCol w:w="115"/>
        <w:gridCol w:w="115"/>
        <w:gridCol w:w="115"/>
        <w:gridCol w:w="115"/>
        <w:gridCol w:w="209"/>
        <w:gridCol w:w="594"/>
        <w:gridCol w:w="115"/>
        <w:gridCol w:w="109"/>
        <w:gridCol w:w="109"/>
        <w:gridCol w:w="109"/>
        <w:gridCol w:w="199"/>
        <w:gridCol w:w="565"/>
        <w:gridCol w:w="110"/>
        <w:gridCol w:w="110"/>
        <w:gridCol w:w="110"/>
        <w:gridCol w:w="110"/>
        <w:gridCol w:w="199"/>
        <w:gridCol w:w="619"/>
        <w:gridCol w:w="110"/>
        <w:gridCol w:w="110"/>
        <w:gridCol w:w="110"/>
        <w:gridCol w:w="110"/>
        <w:gridCol w:w="199"/>
        <w:gridCol w:w="619"/>
        <w:gridCol w:w="173"/>
      </w:tblGrid>
      <w:tr>
        <w:trPr/>
        <w:tc>
          <w:tcPr>
            <w:tcW w:w="11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Compared to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Compared to Six Months Ended June 30, 2025</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Increase</w:t>
              <w:br/>
              <w:t xml:space="preserve">(Decrease) Due </w:t>
              <w:br/>
              <w:t>Change in: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Increase</w:t>
              <w:br/>
              <w:t>(Decrease) Due to</w:t>
              <w:br/>
              <w:t>Change in: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Increase</w:t>
              <w:br/>
              <w:t>(Decrease)</w:t>
            </w:r>
          </w:p>
        </w:tc>
      </w:tr>
      <w:tr>
        <w:trPr/>
        <w:tc>
          <w:tcPr>
            <w:tcW w:w="2923"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financial institutions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Correspondent bank stock</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at fair value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interest income</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8,249 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9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Federal Reserve borrowings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interest expense</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interest income</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7,310 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We have a dedicated problem loan resolution team comprised of associates from our credit, senior leadership, risk, and accounting teams that meets frequently to ensure that watch list and problem credits are identified early and actively managed. We work to identify potential losses in a timely manner and proactively manage the problem credits to minimize losses. For the three and six months ended June 30, 2026, we recorded a $0.5 million and $1.2 million Release of provision for credit losses, respectively, compared to a $1.8 million and $1.9 million Provision for credit losses for the three and six months ended June 30, 2025, respectively. The release of provision recorded for the six months ended June 30, 2026 was primarily driven by reductions in specific reserves due to a credit resolution of an individually analyzed loan and pay downs, partially offset by loan growth.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credit management program which includes internal and external loan review along with recurring portfolio monitoring activities to address the changing environment. Management believes the financial strength of the Bank’s clientele and the diversity of the portfolio continues to mitigate the credit risk within the portfolio.</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240" w:after="120"/>
        <w:jc w:val="both"/>
        <w:rPr/>
      </w:pPr>
      <w:r>
        <w:rPr>
          <w:rFonts w:ascii="Times New Roman;serif" w:hAnsi="Times New Roman;serif"/>
          <w:b w:val="false"/>
          <w:i/>
          <w:color w:val="000000"/>
          <w:sz w:val="20"/>
        </w:rPr>
        <w:t>The three months ended June 30, 2026 compared with the three months ended June 30, 2025.</w:t>
      </w:r>
      <w:r>
        <w:rPr>
          <w:color w:val="000000"/>
        </w:rPr>
        <w:t xml:space="preserve"> </w:t>
      </w:r>
      <w:r>
        <w:rPr>
          <w:rFonts w:ascii="Times New Roman;serif" w:hAnsi="Times New Roman;serif"/>
          <w:b w:val="false"/>
          <w:color w:val="000000"/>
          <w:sz w:val="20"/>
        </w:rPr>
        <w:t xml:space="preserve">For the three months ended June 30, 2026 compared with the three months ended June 30, 2025, Non-interest income increased $0.1 million, or 1.3%, to $6.4 million. The increase in Non-interest income during the three months ended June 30, 2026 was </w:t>
      </w:r>
      <w:r>
        <w:rPr>
          <w:rFonts w:ascii="Times New Roman;serif" w:hAnsi="Times New Roman;serif"/>
          <w:b w:val="false"/>
          <w:color w:val="0A0A0A"/>
          <w:sz w:val="20"/>
        </w:rPr>
        <w:t xml:space="preserve">primarily driven </w:t>
      </w:r>
      <w:r>
        <w:rPr>
          <w:rFonts w:ascii="Times New Roman;serif" w:hAnsi="Times New Roman;serif"/>
          <w:b w:val="false"/>
          <w:color w:val="000000"/>
          <w:sz w:val="20"/>
        </w:rPr>
        <w:t>by increases in Trust and investment management fees and Bank fees, partially offset by a decrease in Net gain on mortgage loans.</w:t>
      </w:r>
    </w:p>
    <w:p>
      <w:pPr>
        <w:pStyle w:val="TextBody"/>
        <w:bidi w:val="0"/>
        <w:spacing w:lineRule="auto" w:line="288" w:before="240" w:after="120"/>
        <w:jc w:val="both"/>
        <w:rPr/>
      </w:pPr>
      <w:r>
        <w:rPr>
          <w:rFonts w:ascii="Times New Roman;serif" w:hAnsi="Times New Roman;serif"/>
          <w:b w:val="false"/>
          <w:i/>
          <w:color w:val="0A0A0A"/>
          <w:sz w:val="20"/>
        </w:rPr>
        <w:t xml:space="preserve">The </w:t>
      </w:r>
      <w:r>
        <w:rPr>
          <w:rFonts w:ascii="Times New Roman;serif" w:hAnsi="Times New Roman;serif"/>
          <w:b w:val="false"/>
          <w:i/>
          <w:color w:val="000000"/>
          <w:sz w:val="20"/>
        </w:rPr>
        <w:t>six</w:t>
      </w:r>
      <w:r>
        <w:rPr>
          <w:color w:val="0A0A0A"/>
        </w:rPr>
        <w:t xml:space="preserve"> </w:t>
      </w:r>
      <w:r>
        <w:rPr>
          <w:rFonts w:ascii="Times New Roman;serif" w:hAnsi="Times New Roman;serif"/>
          <w:b w:val="false"/>
          <w:i/>
          <w:color w:val="0A0A0A"/>
          <w:sz w:val="20"/>
        </w:rPr>
        <w:t xml:space="preserve">months ended </w:t>
      </w:r>
      <w:r>
        <w:rPr>
          <w:rFonts w:ascii="Times New Roman;serif" w:hAnsi="Times New Roman;serif"/>
          <w:b w:val="false"/>
          <w:i/>
          <w:color w:val="000000"/>
          <w:sz w:val="20"/>
        </w:rPr>
        <w:t>June 30, 2026</w:t>
      </w:r>
      <w:r>
        <w:rPr>
          <w:color w:val="0A0A0A"/>
        </w:rPr>
        <w:t xml:space="preserve"> </w:t>
      </w:r>
      <w:r>
        <w:rPr>
          <w:rFonts w:ascii="Times New Roman;serif" w:hAnsi="Times New Roman;serif"/>
          <w:b w:val="false"/>
          <w:i/>
          <w:color w:val="0A0A0A"/>
          <w:sz w:val="20"/>
        </w:rPr>
        <w:t xml:space="preserve">compared with the </w:t>
      </w:r>
      <w:r>
        <w:rPr>
          <w:rFonts w:ascii="Times New Roman;serif" w:hAnsi="Times New Roman;serif"/>
          <w:b w:val="false"/>
          <w:i/>
          <w:color w:val="000000"/>
          <w:sz w:val="20"/>
        </w:rPr>
        <w:t>six</w:t>
      </w:r>
      <w:r>
        <w:rPr>
          <w:color w:val="0A0A0A"/>
        </w:rPr>
        <w:t xml:space="preserve"> </w:t>
      </w:r>
      <w:r>
        <w:rPr>
          <w:rFonts w:ascii="Times New Roman;serif" w:hAnsi="Times New Roman;serif"/>
          <w:b w:val="false"/>
          <w:i/>
          <w:color w:val="0A0A0A"/>
          <w:sz w:val="20"/>
        </w:rPr>
        <w:t xml:space="preserve">months ended </w:t>
      </w:r>
      <w:r>
        <w:rPr>
          <w:rFonts w:ascii="Times New Roman;serif" w:hAnsi="Times New Roman;serif"/>
          <w:b w:val="false"/>
          <w:i/>
          <w:color w:val="000000"/>
          <w:sz w:val="20"/>
        </w:rPr>
        <w:t>June 30, 2025</w:t>
      </w:r>
      <w:r>
        <w:rPr>
          <w:rFonts w:ascii="Times New Roman;serif" w:hAnsi="Times New Roman;serif"/>
          <w:b w:val="false"/>
          <w:color w:val="0A0A0A"/>
          <w:sz w:val="20"/>
        </w:rPr>
        <w:t xml:space="preserve">. For the six months ended </w:t>
      </w:r>
      <w:r>
        <w:rPr>
          <w:rFonts w:ascii="Times New Roman;serif" w:hAnsi="Times New Roman;serif"/>
          <w:b w:val="false"/>
          <w:color w:val="000000"/>
          <w:sz w:val="20"/>
        </w:rPr>
        <w:t>June 30, 2026</w:t>
      </w:r>
      <w:r>
        <w:rPr>
          <w:color w:val="0A0A0A"/>
        </w:rPr>
        <w:t xml:space="preserve"> </w:t>
      </w:r>
      <w:r>
        <w:rPr>
          <w:rFonts w:ascii="Times New Roman;serif" w:hAnsi="Times New Roman;serif"/>
          <w:b w:val="false"/>
          <w:color w:val="0A0A0A"/>
          <w:sz w:val="20"/>
        </w:rPr>
        <w:t xml:space="preserve">compared with the </w:t>
      </w:r>
      <w:r>
        <w:rPr>
          <w:rFonts w:ascii="Times New Roman;serif" w:hAnsi="Times New Roman;serif"/>
          <w:b w:val="false"/>
          <w:color w:val="000000"/>
          <w:sz w:val="20"/>
        </w:rPr>
        <w:t>six</w:t>
      </w:r>
      <w:r>
        <w:rPr>
          <w:color w:val="0A0A0A"/>
        </w:rPr>
        <w:t xml:space="preserve"> </w:t>
      </w:r>
      <w:r>
        <w:rPr>
          <w:rFonts w:ascii="Times New Roman;serif" w:hAnsi="Times New Roman;serif"/>
          <w:b w:val="false"/>
          <w:color w:val="0A0A0A"/>
          <w:sz w:val="20"/>
        </w:rPr>
        <w:t xml:space="preserve">months ended </w:t>
      </w:r>
      <w:r>
        <w:rPr>
          <w:rFonts w:ascii="Times New Roman;serif" w:hAnsi="Times New Roman;serif"/>
          <w:b w:val="false"/>
          <w:color w:val="000000"/>
          <w:sz w:val="20"/>
        </w:rPr>
        <w:t>June 30, 2025</w:t>
      </w:r>
      <w:r>
        <w:rPr>
          <w:rFonts w:ascii="Times New Roman;serif" w:hAnsi="Times New Roman;serif"/>
          <w:b w:val="false"/>
          <w:color w:val="0A0A0A"/>
          <w:sz w:val="20"/>
        </w:rPr>
        <w:t xml:space="preserve">, Non-interest income </w:t>
      </w:r>
      <w:r>
        <w:rPr>
          <w:rFonts w:ascii="Times New Roman;serif" w:hAnsi="Times New Roman;serif"/>
          <w:b w:val="false"/>
          <w:color w:val="000000"/>
          <w:sz w:val="20"/>
        </w:rPr>
        <w:t>decreased</w:t>
      </w:r>
      <w:r>
        <w:rPr>
          <w:color w:val="0A0A0A"/>
        </w:rPr>
        <w:t xml:space="preserve"> </w:t>
      </w:r>
      <w:r>
        <w:rPr>
          <w:rFonts w:ascii="Times New Roman;serif" w:hAnsi="Times New Roman;serif"/>
          <w:b w:val="false"/>
          <w:color w:val="000000"/>
          <w:sz w:val="20"/>
        </w:rPr>
        <w:t>$0.6 million, or 4.5%, to $13.0 million. The decrease in Non-interest income during the six months ended June 30, 2026 was primarily driven by decreases in Net gain on other real estate owned, Other, and Net gain on loans held for sale, partially offset by an increase in Trust and investment management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significant categories of our Non-interest income during the periods presented:</w:t>
      </w:r>
    </w:p>
    <w:tbl>
      <w:tblPr>
        <w:tblW w:w="9295" w:type="dxa"/>
        <w:jc w:val="left"/>
        <w:tblInd w:w="0" w:type="dxa"/>
        <w:tblLayout w:type="fixed"/>
        <w:tblCellMar>
          <w:top w:w="28" w:type="dxa"/>
          <w:left w:w="28" w:type="dxa"/>
          <w:bottom w:w="28" w:type="dxa"/>
          <w:right w:w="28" w:type="dxa"/>
        </w:tblCellMar>
      </w:tblPr>
      <w:tblGrid>
        <w:gridCol w:w="1711"/>
        <w:gridCol w:w="1504"/>
        <w:gridCol w:w="1509"/>
        <w:gridCol w:w="216"/>
        <w:gridCol w:w="614"/>
        <w:gridCol w:w="120"/>
        <w:gridCol w:w="120"/>
        <w:gridCol w:w="120"/>
        <w:gridCol w:w="120"/>
        <w:gridCol w:w="216"/>
        <w:gridCol w:w="614"/>
        <w:gridCol w:w="120"/>
        <w:gridCol w:w="109"/>
        <w:gridCol w:w="109"/>
        <w:gridCol w:w="109"/>
        <w:gridCol w:w="196"/>
        <w:gridCol w:w="421"/>
        <w:gridCol w:w="109"/>
        <w:gridCol w:w="109"/>
        <w:gridCol w:w="109"/>
        <w:gridCol w:w="109"/>
        <w:gridCol w:w="313"/>
        <w:gridCol w:w="317"/>
        <w:gridCol w:w="301"/>
      </w:tblGrid>
      <w:tr>
        <w:trPr/>
        <w:tc>
          <w:tcPr>
            <w:tcW w:w="171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investment management fees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mortgage loans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 fees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 management and insurance fees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on company-owned life insurance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loans accounted for under the fair value option</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recognized on equity securities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6,385 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6,305 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339" w:type="dxa"/>
        <w:jc w:val="left"/>
        <w:tblInd w:w="0" w:type="dxa"/>
        <w:tblLayout w:type="fixed"/>
        <w:tblCellMar>
          <w:top w:w="28" w:type="dxa"/>
          <w:left w:w="28" w:type="dxa"/>
          <w:bottom w:w="28" w:type="dxa"/>
          <w:right w:w="28" w:type="dxa"/>
        </w:tblCellMar>
      </w:tblPr>
      <w:tblGrid>
        <w:gridCol w:w="1711"/>
        <w:gridCol w:w="1504"/>
        <w:gridCol w:w="1509"/>
        <w:gridCol w:w="196"/>
        <w:gridCol w:w="646"/>
        <w:gridCol w:w="109"/>
        <w:gridCol w:w="109"/>
        <w:gridCol w:w="109"/>
        <w:gridCol w:w="109"/>
        <w:gridCol w:w="196"/>
        <w:gridCol w:w="646"/>
        <w:gridCol w:w="109"/>
        <w:gridCol w:w="109"/>
        <w:gridCol w:w="109"/>
        <w:gridCol w:w="109"/>
        <w:gridCol w:w="196"/>
        <w:gridCol w:w="496"/>
        <w:gridCol w:w="109"/>
        <w:gridCol w:w="109"/>
        <w:gridCol w:w="109"/>
        <w:gridCol w:w="109"/>
        <w:gridCol w:w="314"/>
        <w:gridCol w:w="316"/>
        <w:gridCol w:w="301"/>
      </w:tblGrid>
      <w:tr>
        <w:trPr/>
        <w:tc>
          <w:tcPr>
            <w:tcW w:w="171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investment management fees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mortgage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loans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 management and insurance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on company-owned life 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loans accounted for under the fair value option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on other real estate owned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recognized on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i/>
          <w:color w:val="000000"/>
          <w:sz w:val="20"/>
        </w:rPr>
        <w:t>Trust and investment management fees</w:t>
      </w:r>
      <w:r>
        <w:rPr>
          <w:color w:val="000000"/>
        </w:rPr>
        <w:t>—</w:t>
      </w:r>
      <w:r>
        <w:rPr>
          <w:rFonts w:ascii="Times New Roman;serif" w:hAnsi="Times New Roman;serif"/>
          <w:b w:val="false"/>
          <w:color w:val="000000"/>
          <w:sz w:val="20"/>
        </w:rPr>
        <w:t>The increase in Trust and investment management fees of $0.2 million, or 5.1%, and $0.3 million, or 3.3%, for the three and six months ended June 30, 2026, respectively, was primarily driven by increases in fee income from Investment Agency and Managed Trust accounts.</w:t>
      </w:r>
    </w:p>
    <w:p>
      <w:pPr>
        <w:pStyle w:val="TextBody"/>
        <w:bidi w:val="0"/>
        <w:spacing w:lineRule="auto" w:line="288" w:before="120" w:after="120"/>
        <w:jc w:val="both"/>
        <w:rPr/>
      </w:pPr>
      <w:r>
        <w:rPr>
          <w:rFonts w:ascii="Times New Roman;serif" w:hAnsi="Times New Roman;serif"/>
          <w:b w:val="false"/>
          <w:i/>
          <w:color w:val="000000"/>
          <w:sz w:val="20"/>
        </w:rPr>
        <w:t>Net gain on mortgage loans</w:t>
      </w:r>
      <w:r>
        <w:rPr>
          <w:color w:val="000000"/>
        </w:rPr>
        <w:t>—</w:t>
      </w:r>
      <w:r>
        <w:rPr>
          <w:rFonts w:ascii="Times New Roman;serif" w:hAnsi="Times New Roman;serif"/>
          <w:b w:val="false"/>
          <w:color w:val="000000"/>
          <w:sz w:val="20"/>
        </w:rPr>
        <w:t>The decrease in Net gain on mortgage loans of $0.3 million, or 23.7%, for the three months ended June 30, 2026 was primarily attributable to lower margins. The increase in Net gain on mortgage loans of $0.1 million, or 4.9%, for the six months ended June 30, 2026 was primarily attributable to higher origination volume, partially offset by lower margins.</w:t>
      </w:r>
    </w:p>
    <w:p>
      <w:pPr>
        <w:pStyle w:val="TextBody"/>
        <w:bidi w:val="0"/>
        <w:spacing w:lineRule="auto" w:line="288" w:before="0" w:after="120"/>
        <w:jc w:val="both"/>
        <w:rPr/>
      </w:pPr>
      <w:r>
        <w:rPr>
          <w:rFonts w:ascii="Times New Roman;serif" w:hAnsi="Times New Roman;serif"/>
          <w:b w:val="false"/>
          <w:i/>
          <w:color w:val="000000"/>
          <w:sz w:val="20"/>
        </w:rPr>
        <w:t>Net gain on loans held for sale</w:t>
      </w:r>
      <w:r>
        <w:rPr>
          <w:color w:val="000000"/>
        </w:rPr>
        <w:t>—</w:t>
      </w:r>
      <w:r>
        <w:rPr>
          <w:rFonts w:ascii="Times New Roman;serif" w:hAnsi="Times New Roman;serif"/>
          <w:b w:val="false"/>
          <w:color w:val="000000"/>
          <w:sz w:val="20"/>
        </w:rPr>
        <w:t>The decrease in Net gain on loans held for sale for the six months ended June 30, 2026 was due to a $0.2 million gain recorded in the first quarter of 2025. The gain was due to the reversal of a write-down on a non-accrual loan recorded in the fourth quarter of 2024. This loan was classified as held for sale as of December 31, 2024; however, during the first quarter of 2025, it was transferred to held for investment and charged off through the ACL.</w:t>
      </w:r>
    </w:p>
    <w:p>
      <w:pPr>
        <w:pStyle w:val="TextBody"/>
        <w:bidi w:val="0"/>
        <w:spacing w:lineRule="auto" w:line="288" w:before="0" w:after="120"/>
        <w:jc w:val="both"/>
        <w:rPr/>
      </w:pPr>
      <w:r>
        <w:rPr>
          <w:rFonts w:ascii="Times New Roman;serif" w:hAnsi="Times New Roman;serif"/>
          <w:b w:val="false"/>
          <w:i/>
          <w:color w:val="000000"/>
          <w:sz w:val="20"/>
        </w:rPr>
        <w:t>Bank fees</w:t>
      </w:r>
      <w:r>
        <w:rPr>
          <w:color w:val="000000"/>
        </w:rPr>
        <w:t>—</w:t>
      </w:r>
      <w:r>
        <w:rPr>
          <w:rFonts w:ascii="Times New Roman;serif" w:hAnsi="Times New Roman;serif"/>
          <w:b w:val="false"/>
          <w:color w:val="000000"/>
          <w:sz w:val="20"/>
        </w:rPr>
        <w:t>The increase in Bank fees of $0.1 million, or 46.4%, for the three months ended June 30, 2026 was driven by increases in prepayment penalty and swap fees.</w:t>
      </w:r>
    </w:p>
    <w:p>
      <w:pPr>
        <w:pStyle w:val="TextBody"/>
        <w:bidi w:val="0"/>
        <w:spacing w:lineRule="auto" w:line="288" w:before="0" w:after="120"/>
        <w:jc w:val="both"/>
        <w:rPr/>
      </w:pPr>
      <w:r>
        <w:rPr>
          <w:rFonts w:ascii="Times New Roman;serif" w:hAnsi="Times New Roman;serif"/>
          <w:b w:val="false"/>
          <w:i/>
          <w:color w:val="000000"/>
          <w:sz w:val="20"/>
        </w:rPr>
        <w:t>Net (loss) gain on other real estate owned</w:t>
      </w:r>
      <w:r>
        <w:rPr>
          <w:color w:val="000000"/>
        </w:rPr>
        <w:t>—</w:t>
      </w:r>
      <w:r>
        <w:rPr>
          <w:rFonts w:ascii="Times New Roman;serif" w:hAnsi="Times New Roman;serif"/>
          <w:b w:val="false"/>
          <w:color w:val="000000"/>
          <w:sz w:val="20"/>
        </w:rPr>
        <w:t>During the first quarter of 2025, two OREO properties were sold for a net gain of $0.5 million. During the first quarter of 2026, the last remaining OREO property was sold for a net loss of $7 thousand.</w:t>
      </w:r>
    </w:p>
    <w:p>
      <w:pPr>
        <w:pStyle w:val="TextBody"/>
        <w:bidi w:val="0"/>
        <w:spacing w:lineRule="auto" w:line="288" w:before="0" w:after="120"/>
        <w:jc w:val="both"/>
        <w:rPr/>
      </w:pPr>
      <w:r>
        <w:rPr>
          <w:rFonts w:ascii="Times New Roman;serif" w:hAnsi="Times New Roman;serif"/>
          <w:b w:val="false"/>
          <w:i/>
          <w:color w:val="000000"/>
          <w:sz w:val="20"/>
        </w:rPr>
        <w:t>Other</w:t>
      </w:r>
      <w:r>
        <w:rPr>
          <w:color w:val="000000"/>
        </w:rPr>
        <w:t>—</w:t>
      </w:r>
      <w:r>
        <w:rPr>
          <w:rFonts w:ascii="Times New Roman;serif" w:hAnsi="Times New Roman;serif"/>
          <w:b w:val="false"/>
          <w:color w:val="000000"/>
          <w:sz w:val="20"/>
        </w:rPr>
        <w:t>The decrease in Other of $0.3 million, or 143.9%, for the six months ended June 30, 2026 was primarily attributable to changes in interest rate swap fair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120" w:after="120"/>
        <w:jc w:val="both"/>
        <w:rPr/>
      </w:pPr>
      <w:r>
        <w:rPr>
          <w:rFonts w:ascii="Times New Roman;serif" w:hAnsi="Times New Roman;serif"/>
          <w:b w:val="false"/>
          <w:i/>
          <w:color w:val="000000"/>
          <w:sz w:val="20"/>
        </w:rPr>
        <w:t>The three months ended June 30, 2026 compared with the three months ended June 30, 2025</w:t>
      </w:r>
      <w:r>
        <w:rPr>
          <w:rFonts w:ascii="Times New Roman;serif" w:hAnsi="Times New Roman;serif"/>
          <w:b w:val="false"/>
          <w:color w:val="000000"/>
          <w:sz w:val="20"/>
        </w:rPr>
        <w:t>. For the three months ended June 30, 2026 compared with the three months ended June 30, 2025, Non-interest expense increased $2.1 million, or 11.1%, to $21.2 million. The increase in Non-interest expense during the three months ended June 30, 2026 was driven primarily by increases in Salaries and employee benefits and Technology and information systems, partially offset by a decrease in Professional services.</w:t>
      </w:r>
    </w:p>
    <w:p>
      <w:pPr>
        <w:pStyle w:val="TextBody"/>
        <w:bidi w:val="0"/>
        <w:spacing w:lineRule="auto" w:line="288" w:before="120" w:after="120"/>
        <w:jc w:val="both"/>
        <w:rPr/>
      </w:pPr>
      <w:r>
        <w:rPr>
          <w:rFonts w:ascii="Times New Roman;serif" w:hAnsi="Times New Roman;serif"/>
          <w:b w:val="false"/>
          <w:i/>
          <w:color w:val="000000"/>
          <w:sz w:val="20"/>
        </w:rPr>
        <w:t>The six months ended June 30, 2026 compared with the six months ended June 30, 2025</w:t>
      </w:r>
      <w:r>
        <w:rPr>
          <w:rFonts w:ascii="Times New Roman;serif" w:hAnsi="Times New Roman;serif"/>
          <w:b w:val="false"/>
          <w:color w:val="000000"/>
          <w:sz w:val="20"/>
        </w:rPr>
        <w:t>. For the six months ended June 30, 2026 compared with the six months ended June 30, 2025, Non-interest expense increased $2.9 million, or 7.6%, to $41.4 million. The increase in Non-interest expense during the six months ended June 30, 2026 was driven primarily by increase in Salaries and employee benefits and Technology and information systems, partially offset by decreases in Occupancy and equipment and Professional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significant categories of our Non-interest expense during the periods presented:</w:t>
      </w:r>
    </w:p>
    <w:tbl>
      <w:tblPr>
        <w:tblW w:w="7466" w:type="dxa"/>
        <w:jc w:val="left"/>
        <w:tblInd w:w="0" w:type="dxa"/>
        <w:tblLayout w:type="fixed"/>
        <w:tblCellMar>
          <w:top w:w="28" w:type="dxa"/>
          <w:left w:w="28" w:type="dxa"/>
          <w:bottom w:w="28" w:type="dxa"/>
          <w:right w:w="28" w:type="dxa"/>
        </w:tblCellMar>
      </w:tblPr>
      <w:tblGrid>
        <w:gridCol w:w="1032"/>
        <w:gridCol w:w="907"/>
        <w:gridCol w:w="911"/>
        <w:gridCol w:w="199"/>
        <w:gridCol w:w="656"/>
        <w:gridCol w:w="110"/>
        <w:gridCol w:w="110"/>
        <w:gridCol w:w="110"/>
        <w:gridCol w:w="110"/>
        <w:gridCol w:w="199"/>
        <w:gridCol w:w="656"/>
        <w:gridCol w:w="110"/>
        <w:gridCol w:w="109"/>
        <w:gridCol w:w="109"/>
        <w:gridCol w:w="109"/>
        <w:gridCol w:w="196"/>
        <w:gridCol w:w="556"/>
        <w:gridCol w:w="109"/>
        <w:gridCol w:w="109"/>
        <w:gridCol w:w="109"/>
        <w:gridCol w:w="109"/>
        <w:gridCol w:w="269"/>
        <w:gridCol w:w="271"/>
        <w:gridCol w:w="301"/>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information systems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21,217 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7435" w:type="dxa"/>
        <w:jc w:val="left"/>
        <w:tblInd w:w="0" w:type="dxa"/>
        <w:tblLayout w:type="fixed"/>
        <w:tblCellMar>
          <w:top w:w="28" w:type="dxa"/>
          <w:left w:w="28" w:type="dxa"/>
          <w:bottom w:w="28" w:type="dxa"/>
          <w:right w:w="28" w:type="dxa"/>
        </w:tblCellMar>
      </w:tblPr>
      <w:tblGrid>
        <w:gridCol w:w="1032"/>
        <w:gridCol w:w="907"/>
        <w:gridCol w:w="911"/>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69"/>
        <w:gridCol w:w="271"/>
        <w:gridCol w:w="301"/>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information systems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i/>
          <w:color w:val="000000"/>
          <w:sz w:val="20"/>
        </w:rPr>
        <w:t>Salaries and employee benefits—</w:t>
      </w:r>
      <w:r>
        <w:rPr>
          <w:rFonts w:ascii="Times New Roman;serif" w:hAnsi="Times New Roman;serif"/>
          <w:b w:val="false"/>
          <w:color w:val="000000"/>
          <w:sz w:val="20"/>
        </w:rPr>
        <w:t>The increase in Salaries and employee benefits of $2.0 million, or 18.3%, and $3.5 million, or 15.4% for the three and six months ended June 30, 2026, respectively, was driven by an increase in average headcount and an increase in bonus accruals a result of balance sheet growth and improved earnings.</w:t>
      </w:r>
    </w:p>
    <w:p>
      <w:pPr>
        <w:pStyle w:val="TextBody"/>
        <w:bidi w:val="0"/>
        <w:spacing w:lineRule="auto" w:line="288" w:before="0" w:after="120"/>
        <w:jc w:val="both"/>
        <w:rPr/>
      </w:pPr>
      <w:r>
        <w:rPr>
          <w:rFonts w:ascii="Times New Roman;serif" w:hAnsi="Times New Roman;serif"/>
          <w:b w:val="false"/>
          <w:i/>
          <w:color w:val="000000"/>
          <w:sz w:val="20"/>
        </w:rPr>
        <w:t>Occupancy and equipment—</w:t>
      </w:r>
      <w:r>
        <w:rPr>
          <w:rFonts w:ascii="Times New Roman;serif" w:hAnsi="Times New Roman;serif"/>
          <w:b w:val="false"/>
          <w:color w:val="000000"/>
          <w:sz w:val="20"/>
        </w:rPr>
        <w:t>The decrease in Occupancy and equipment of $0.2 million, or 10.8%, and $0.5 million, or 12.4%, for the three and six months ended June 30, 2026 was driven by a decrease in variable lease expenses.</w:t>
      </w:r>
    </w:p>
    <w:p>
      <w:pPr>
        <w:pStyle w:val="TextBody"/>
        <w:bidi w:val="0"/>
        <w:spacing w:lineRule="auto" w:line="288" w:before="0" w:after="120"/>
        <w:jc w:val="both"/>
        <w:rPr/>
      </w:pPr>
      <w:r>
        <w:rPr>
          <w:rFonts w:ascii="Times New Roman;serif" w:hAnsi="Times New Roman;serif"/>
          <w:b w:val="false"/>
          <w:i/>
          <w:color w:val="000000"/>
          <w:sz w:val="20"/>
        </w:rPr>
        <w:t>Professional services—</w:t>
      </w:r>
      <w:r>
        <w:rPr>
          <w:rFonts w:ascii="Times New Roman;serif" w:hAnsi="Times New Roman;serif"/>
          <w:b w:val="false"/>
          <w:color w:val="000000"/>
          <w:sz w:val="20"/>
        </w:rPr>
        <w:t>The decrease in Professional services of $0.4 million, or 19.7%, and $0.5 million, or 13.3%, for the three and six months ended June 30, 2026, respectively, was primarily driven by decreases in legal expenses, recruiting expenses, and FDIC insurance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i/>
          <w:color w:val="0A0A0A"/>
          <w:sz w:val="20"/>
        </w:rPr>
        <w:t>Technology and information systems</w:t>
      </w:r>
      <w:r>
        <w:rPr>
          <w:color w:val="000000"/>
        </w:rPr>
        <w:t>—</w:t>
      </w:r>
      <w:r>
        <w:rPr>
          <w:rFonts w:ascii="Times New Roman;serif" w:hAnsi="Times New Roman;serif"/>
          <w:b w:val="false"/>
          <w:color w:val="000000"/>
          <w:sz w:val="20"/>
        </w:rPr>
        <w:t>The increase in Technology and information systems of $0.4 million, or 43.5%, and $0.4 million, or 17.5%, for the three and six months ended June 30, 2026, respectively, was primarily attributable to a $0.4 million nonrecurring charge related to the write-off of certain previously capitalized technology assets.</w:t>
      </w:r>
    </w:p>
    <w:p>
      <w:pPr>
        <w:pStyle w:val="TextBody"/>
        <w:bidi w:val="0"/>
        <w:spacing w:lineRule="auto" w:line="288" w:before="0" w:after="120"/>
        <w:jc w:val="both"/>
        <w:rPr/>
      </w:pPr>
      <w:r>
        <w:rPr>
          <w:rFonts w:ascii="Times New Roman;serif" w:hAnsi="Times New Roman;serif"/>
          <w:b w:val="false"/>
          <w:i/>
          <w:color w:val="0A0A0A"/>
          <w:sz w:val="20"/>
        </w:rPr>
        <w:t>Data processing</w:t>
      </w:r>
      <w:r>
        <w:rPr>
          <w:color w:val="000000"/>
        </w:rPr>
        <w:t>—</w:t>
      </w:r>
      <w:r>
        <w:rPr>
          <w:rFonts w:ascii="Times New Roman;serif" w:hAnsi="Times New Roman;serif"/>
          <w:b w:val="false"/>
          <w:color w:val="000000"/>
          <w:sz w:val="20"/>
        </w:rPr>
        <w:t>The increase in Data processing of $0.2 million, or 16.6%, and $0.3 million, or 11.2%, for the three and six months ended June 30, 2026, respectively, was primarily driven by upgrades to our consumer digital banking platform.</w:t>
      </w:r>
    </w:p>
    <w:p>
      <w:pPr>
        <w:pStyle w:val="TextBody"/>
        <w:bidi w:val="0"/>
        <w:spacing w:lineRule="auto" w:line="288" w:before="0" w:after="120"/>
        <w:jc w:val="both"/>
        <w:rPr/>
      </w:pPr>
      <w:r>
        <w:rPr>
          <w:rFonts w:ascii="Times New Roman;serif" w:hAnsi="Times New Roman;serif"/>
          <w:b w:val="false"/>
          <w:i/>
          <w:color w:val="000000"/>
          <w:sz w:val="20"/>
        </w:rPr>
        <w:t>Other—</w:t>
      </w:r>
      <w:r>
        <w:rPr>
          <w:rFonts w:ascii="Times New Roman;serif" w:hAnsi="Times New Roman;serif"/>
          <w:b w:val="false"/>
          <w:color w:val="000000"/>
          <w:sz w:val="20"/>
        </w:rPr>
        <w:t>The decrease in Other of $0.2 million, or 7.2%, for the six months ended June 30, 2026, was primarily driven by a fraud loss in the first quarter of 2025.</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Income Tax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provision of $1.7 million and $0.8 million for the three months ended June 30, 2026 and 2025, respectively, reflecting an effective tax rate of 22.6% and 24.5%, respectively. The Company recorded an income tax provision of $3.6 million and $2.0 million for the six months ended June 30, 2026 and 2025, respectively, reflecting an effective tax rate of 23.0% and 22.9%,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Wealth Management and Mortgage. Our Wealth Management segment consists of operations relating to the Company’s fully integrated wealth management products and services. Services provided include deposit, loan, insurance, and trust and investment management advisory products and services for which fee revenue is recognized. Parent company activity primarily consists of subordinated debt interest expense and is included within Wealth Management as management evaluates and makes business decisions for Wealth Management, including the parent company, collectively as one segment.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Mortgage segment consists of operations relating to the Company’s residential mortgage service offerings. Services provided by our Mortgage segment include soliciting, originating, and selling mortgage loans into the secondary market. Mortgage products are financial in nature, for which origination fees are recognized net of origination expenses, upon the funding of the mortgage loans. Mortgage loans held for sale are accounted for under the fair value option with changes in fair value reported through earnings at inception when loans are locked to the borrower and until the loan is sold to third parties, at which time additional gains or losses on the sale are recorded. Mortgage loans originated and held for investment purposes are recorded in the Wealth Management segment, as this segment provides ongoing services to our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key metrics related to our segments during the periods presented:</w:t>
      </w:r>
    </w:p>
    <w:tbl>
      <w:tblPr>
        <w:tblW w:w="10187" w:type="dxa"/>
        <w:jc w:val="left"/>
        <w:tblInd w:w="0" w:type="dxa"/>
        <w:tblLayout w:type="fixed"/>
        <w:tblCellMar>
          <w:top w:w="28" w:type="dxa"/>
          <w:left w:w="28" w:type="dxa"/>
          <w:bottom w:w="28" w:type="dxa"/>
          <w:right w:w="28" w:type="dxa"/>
        </w:tblCellMar>
      </w:tblPr>
      <w:tblGrid>
        <w:gridCol w:w="760"/>
        <w:gridCol w:w="668"/>
        <w:gridCol w:w="671"/>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196"/>
        <w:gridCol w:w="646"/>
        <w:gridCol w:w="30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jc w:val="both"/>
        <w:rPr/>
      </w:pPr>
      <w:r>
        <w:rPr/>
      </w:r>
    </w:p>
    <w:tbl>
      <w:tblPr>
        <w:tblW w:w="10187" w:type="dxa"/>
        <w:jc w:val="left"/>
        <w:tblInd w:w="0" w:type="dxa"/>
        <w:tblLayout w:type="fixed"/>
        <w:tblCellMar>
          <w:top w:w="28" w:type="dxa"/>
          <w:left w:w="28" w:type="dxa"/>
          <w:bottom w:w="28" w:type="dxa"/>
          <w:right w:w="28" w:type="dxa"/>
        </w:tblCellMar>
      </w:tblPr>
      <w:tblGrid>
        <w:gridCol w:w="760"/>
        <w:gridCol w:w="668"/>
        <w:gridCol w:w="671"/>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196"/>
        <w:gridCol w:w="646"/>
        <w:gridCol w:w="30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Mortgage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47,134 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Net interest income after provision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selected financial metrics of each segment as of and during the periods presented: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Wealth Management</w:t>
      </w:r>
    </w:p>
    <w:tbl>
      <w:tblPr>
        <w:tblW w:w="10205" w:type="dxa"/>
        <w:jc w:val="left"/>
        <w:tblInd w:w="0" w:type="dxa"/>
        <w:tblLayout w:type="fixed"/>
        <w:tblCellMar>
          <w:top w:w="28" w:type="dxa"/>
          <w:left w:w="28" w:type="dxa"/>
          <w:bottom w:w="28" w:type="dxa"/>
          <w:right w:w="28" w:type="dxa"/>
        </w:tblCellMar>
      </w:tblPr>
      <w:tblGrid>
        <w:gridCol w:w="1479"/>
        <w:gridCol w:w="1272"/>
        <w:gridCol w:w="1276"/>
        <w:gridCol w:w="241"/>
        <w:gridCol w:w="1076"/>
        <w:gridCol w:w="134"/>
        <w:gridCol w:w="134"/>
        <w:gridCol w:w="134"/>
        <w:gridCol w:w="134"/>
        <w:gridCol w:w="241"/>
        <w:gridCol w:w="1076"/>
        <w:gridCol w:w="134"/>
        <w:gridCol w:w="109"/>
        <w:gridCol w:w="109"/>
        <w:gridCol w:w="109"/>
        <w:gridCol w:w="196"/>
        <w:gridCol w:w="736"/>
        <w:gridCol w:w="109"/>
        <w:gridCol w:w="109"/>
        <w:gridCol w:w="109"/>
        <w:gridCol w:w="109"/>
        <w:gridCol w:w="309"/>
        <w:gridCol w:w="311"/>
        <w:gridCol w:w="559"/>
      </w:tblGrid>
      <w:tr>
        <w:trPr/>
        <w:tc>
          <w:tcPr>
            <w:tcW w:w="147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41,538 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37,190 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provision for credit losses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(release of) provision for credit losses</w:t>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21,918 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15,801 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mortgage loans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income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w:t>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3,211,542 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3,000,682 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24"/>
        <w:gridCol w:w="1319"/>
        <w:gridCol w:w="1323"/>
        <w:gridCol w:w="231"/>
        <w:gridCol w:w="1030"/>
        <w:gridCol w:w="128"/>
        <w:gridCol w:w="128"/>
        <w:gridCol w:w="128"/>
        <w:gridCol w:w="128"/>
        <w:gridCol w:w="231"/>
        <w:gridCol w:w="1030"/>
        <w:gridCol w:w="128"/>
        <w:gridCol w:w="109"/>
        <w:gridCol w:w="109"/>
        <w:gridCol w:w="109"/>
        <w:gridCol w:w="196"/>
        <w:gridCol w:w="736"/>
        <w:gridCol w:w="109"/>
        <w:gridCol w:w="109"/>
        <w:gridCol w:w="109"/>
        <w:gridCol w:w="109"/>
        <w:gridCol w:w="310"/>
        <w:gridCol w:w="312"/>
        <w:gridCol w:w="560"/>
      </w:tblGrid>
      <w:tr>
        <w:trPr/>
        <w:tc>
          <w:tcPr>
            <w:tcW w:w="152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82,239 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74,216 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provision for credit losses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(release of) provision for credit losses</w:t>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43,125 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32,991 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mortgage loans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income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53,776 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other non-interest expense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3,211,542 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3,000,682 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Wealth Management segment reported Income before income tax of $7.7 million for the three months ended June 30, 2026, compared to $3.1 million for the same period in 2025, as well as Income before income tax of $15.5 million for the six months ended June 30, 2026, compared to $8.4 million for the same period in 2025. The majority of our assets and liabilities are on the Wealth Management segment balance sheet. The increase in Income before income taxes for the three month period ended June 30, 2026 was driven primarily by increases in Net interest income, after provision for credit losses and Non-interest income, partially offset by an increase in Non-interest expense. The increase in Income before income taxes for the six month period ended June 30, 2026 was driven primarily by an increase in Net interest income, after provision for credit losses, partially offset by an increase in Non-interest expense and a decrease in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Mortgage</w:t>
      </w:r>
    </w:p>
    <w:tbl>
      <w:tblPr>
        <w:tblW w:w="9857" w:type="dxa"/>
        <w:jc w:val="left"/>
        <w:tblInd w:w="0" w:type="dxa"/>
        <w:tblLayout w:type="fixed"/>
        <w:tblCellMar>
          <w:top w:w="28" w:type="dxa"/>
          <w:left w:w="28" w:type="dxa"/>
          <w:bottom w:w="28" w:type="dxa"/>
          <w:right w:w="28" w:type="dxa"/>
        </w:tblCellMar>
      </w:tblPr>
      <w:tblGrid>
        <w:gridCol w:w="1369"/>
        <w:gridCol w:w="1203"/>
        <w:gridCol w:w="1208"/>
        <w:gridCol w:w="302"/>
        <w:gridCol w:w="995"/>
        <w:gridCol w:w="168"/>
        <w:gridCol w:w="168"/>
        <w:gridCol w:w="168"/>
        <w:gridCol w:w="168"/>
        <w:gridCol w:w="302"/>
        <w:gridCol w:w="995"/>
        <w:gridCol w:w="168"/>
        <w:gridCol w:w="109"/>
        <w:gridCol w:w="109"/>
        <w:gridCol w:w="109"/>
        <w:gridCol w:w="196"/>
        <w:gridCol w:w="496"/>
        <w:gridCol w:w="109"/>
        <w:gridCol w:w="109"/>
        <w:gridCol w:w="109"/>
        <w:gridCol w:w="109"/>
        <w:gridCol w:w="313"/>
        <w:gridCol w:w="317"/>
        <w:gridCol w:w="558"/>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mortgage loans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income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w:t>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expense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9658" w:type="dxa"/>
        <w:jc w:val="left"/>
        <w:tblInd w:w="0" w:type="dxa"/>
        <w:tblLayout w:type="fixed"/>
        <w:tblCellMar>
          <w:top w:w="28" w:type="dxa"/>
          <w:left w:w="28" w:type="dxa"/>
          <w:bottom w:w="28" w:type="dxa"/>
          <w:right w:w="28" w:type="dxa"/>
        </w:tblCellMar>
      </w:tblPr>
      <w:tblGrid>
        <w:gridCol w:w="1368"/>
        <w:gridCol w:w="1203"/>
        <w:gridCol w:w="1208"/>
        <w:gridCol w:w="284"/>
        <w:gridCol w:w="939"/>
        <w:gridCol w:w="158"/>
        <w:gridCol w:w="158"/>
        <w:gridCol w:w="158"/>
        <w:gridCol w:w="158"/>
        <w:gridCol w:w="284"/>
        <w:gridCol w:w="939"/>
        <w:gridCol w:w="158"/>
        <w:gridCol w:w="109"/>
        <w:gridCol w:w="109"/>
        <w:gridCol w:w="109"/>
        <w:gridCol w:w="196"/>
        <w:gridCol w:w="496"/>
        <w:gridCol w:w="109"/>
        <w:gridCol w:w="109"/>
        <w:gridCol w:w="109"/>
        <w:gridCol w:w="109"/>
        <w:gridCol w:w="313"/>
        <w:gridCol w:w="317"/>
        <w:gridCol w:w="558"/>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mortgage loans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non-interest income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before non-interest expense</w:t>
            </w:r>
          </w:p>
        </w:tc>
        <w:tc>
          <w:tcPr>
            <w:tcW w:w="12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other non-interest expense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Mortgage segment reported Loss before income taxes of $0.3 million for the three months ended June 30, 2026, compared to $0.3 million of Income before income taxes for the same period in 2025, as well as Income before income taxes of $0.0 million for the six months ended June 30, 2026, compared to $0.3 million for the same period in 2025. The decrease in Income before taxes for the three month period ended June 30, 2026 was primarily driven by a decrease in Net gain on mortgage loans, which was primarily driven by lower margins, and an increase in Salaries and employee benefits. The decrease in Income before taxes for the six month period ended June 30, 2026 was primarily driven by an increase in Salaries and employee benefits, partially offset by an increase in Total interest and dividend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our Condensed Consolidated Balance Sheets as of the dates noted:</w:t>
      </w:r>
    </w:p>
    <w:tbl>
      <w:tblPr>
        <w:tblW w:w="10205" w:type="dxa"/>
        <w:jc w:val="left"/>
        <w:tblInd w:w="0" w:type="dxa"/>
        <w:tblLayout w:type="fixed"/>
        <w:tblCellMar>
          <w:top w:w="28" w:type="dxa"/>
          <w:left w:w="28" w:type="dxa"/>
          <w:bottom w:w="28" w:type="dxa"/>
          <w:right w:w="28" w:type="dxa"/>
        </w:tblCellMar>
      </w:tblPr>
      <w:tblGrid>
        <w:gridCol w:w="1846"/>
        <w:gridCol w:w="1495"/>
        <w:gridCol w:w="1411"/>
        <w:gridCol w:w="196"/>
        <w:gridCol w:w="871"/>
        <w:gridCol w:w="109"/>
        <w:gridCol w:w="109"/>
        <w:gridCol w:w="109"/>
        <w:gridCol w:w="109"/>
        <w:gridCol w:w="196"/>
        <w:gridCol w:w="871"/>
        <w:gridCol w:w="109"/>
        <w:gridCol w:w="109"/>
        <w:gridCol w:w="109"/>
        <w:gridCol w:w="109"/>
        <w:gridCol w:w="196"/>
        <w:gridCol w:w="685"/>
        <w:gridCol w:w="109"/>
        <w:gridCol w:w="109"/>
        <w:gridCol w:w="109"/>
        <w:gridCol w:w="109"/>
        <w:gridCol w:w="295"/>
        <w:gridCol w:w="299"/>
        <w:gridCol w:w="536"/>
      </w:tblGrid>
      <w:tr>
        <w:trPr/>
        <w:tc>
          <w:tcPr>
            <w:tcW w:w="184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 Data:</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Available-for-sale debt securities, at fair value (amortized cost of $89,745 and $45,623,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w:t>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Held-to-maturity debt securities, net of allowance for credit losses of $151 and $74, (fair value of $112,617 and $90,635),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Loans (includes $1,758 and $3,182 measured at fair value,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allowance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3,154,981 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2,957,413 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2,889,421 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3,238,006 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3,154,981 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decreased by $25.4 million, or 12.7%, to $174.9 million as of June 30, 2026 compared to December 31, 2025. The decrease was a result of increases in Debt securities and Loans and a decrease in Borrowings, partially offset by an increase in Deposits.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Available-for-sale debt securities increased by $44.0 million, or 96.5%, to $89.6 million as of June 30, 2026 compared to December 31, 2025. The increase was due to the purchase of residential mortgage-backed securities issued by U.S. government agencies and sponsored enterprises, partially offset by principal pay downs.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Held-to-maturity debt securities increased by $21.8 million, or 23.0%, to $116.8 million as of June 30, 2026 compared to December 31, 2025. The increase was primarily due to the purchase of corporate and municipal bonds, offset by principal pay downs.</w:t>
      </w:r>
    </w:p>
    <w:p>
      <w:pPr>
        <w:pStyle w:val="TextBody"/>
        <w:bidi w:val="0"/>
        <w:spacing w:lineRule="auto" w:line="288" w:before="0" w:after="120"/>
        <w:jc w:val="both"/>
        <w:rPr/>
      </w:pPr>
      <w:r>
        <w:rPr>
          <w:rFonts w:ascii="Times New Roman;serif" w:hAnsi="Times New Roman;serif"/>
          <w:b w:val="false"/>
          <w:color w:val="000000"/>
          <w:sz w:val="20"/>
        </w:rPr>
        <w:t xml:space="preserve">Loans, net of allowance increased by $62.5 million, or 2.4%, to $2.69 billion as of June 30, 2026 compared to December 31, 2025, primarily due to </w:t>
      </w:r>
      <w:r>
        <w:rPr>
          <w:rFonts w:ascii="Times New Roman;serif" w:hAnsi="Times New Roman;serif"/>
          <w:b w:val="false"/>
          <w:color w:val="0A0A0A"/>
          <w:sz w:val="20"/>
        </w:rPr>
        <w:t>growth in the 1-4 family residential, Owner occupied commercial real estate, and Cash, securities, and other portfolios, partially offset by a decrease in the Non-owner occupied commercial real estate portfolio.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Mortgage loans held for sale, at fair value decreased $15.5 million, or 38.6%, to $24.7 million as of June 30, 2026 compared to December 31, 2025. The decrease was primarily due to the timing of loan originations and sales.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real estate owned, net decreased by $3.0 million as of June 30, 2026 compared to December 31, 2025. The decrease was due to the sale of the Company's last remaining OREO property in the first quarter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Deposits increased $99.4 million, or 3.6%, to $2.85 billion as of June 30, 2026 compared to December 31, 2025, primarily driven by increases in Non-interest bearing deposit accounts and money market deposit accounts. Non-interest bearing deposit accounts increased $36.9 million, or 10.7%, to $381.8 million as of June 30, 2026 compared to December 31, 2025. Money market deposit accounts increased $61.7 million, or 3.2%, to $1.98 billion as of June 30, 2026 compared to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Borrowings decreased $26.3 million, or 24.5%, to $81.3 million as of June 30, 2026 compared to December 31, 2025. The decrease was primarily driven by the pay down of FHLB borrowings.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liabilities decreased $5.1 million, or 14.4%, to $30.2 million as of June 30, 2026 compared to December 31, 2025. The decrease was primarily due to decreases in salaries payable driven by the timing of bonus payments and an increase in interest rate swap fair values resulting from an increase in forward interest rates.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Total shareholders’ equity increased $15.0 million, or 5.7%, from December 31, 2025 to $280.6 million as of June 30, 2026. The increase was primarily due to Net income for the quarter and an increase in Accumulated other comprehensive gain primarily driven by an increase in cash flow hedge fair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Under Management</w:t>
      </w:r>
    </w:p>
    <w:tbl>
      <w:tblPr>
        <w:tblW w:w="10205" w:type="dxa"/>
        <w:jc w:val="left"/>
        <w:tblInd w:w="0" w:type="dxa"/>
        <w:tblLayout w:type="fixed"/>
        <w:tblCellMar>
          <w:top w:w="28" w:type="dxa"/>
          <w:left w:w="28" w:type="dxa"/>
          <w:bottom w:w="28" w:type="dxa"/>
          <w:right w:w="28" w:type="dxa"/>
        </w:tblCellMar>
      </w:tblPr>
      <w:tblGrid>
        <w:gridCol w:w="1904"/>
        <w:gridCol w:w="1557"/>
        <w:gridCol w:w="1564"/>
        <w:gridCol w:w="196"/>
        <w:gridCol w:w="571"/>
        <w:gridCol w:w="271"/>
        <w:gridCol w:w="109"/>
        <w:gridCol w:w="109"/>
        <w:gridCol w:w="109"/>
        <w:gridCol w:w="196"/>
        <w:gridCol w:w="571"/>
        <w:gridCol w:w="271"/>
        <w:gridCol w:w="109"/>
        <w:gridCol w:w="109"/>
        <w:gridCol w:w="109"/>
        <w:gridCol w:w="196"/>
        <w:gridCol w:w="571"/>
        <w:gridCol w:w="271"/>
        <w:gridCol w:w="109"/>
        <w:gridCol w:w="109"/>
        <w:gridCol w:w="109"/>
        <w:gridCol w:w="196"/>
        <w:gridCol w:w="571"/>
        <w:gridCol w:w="318"/>
      </w:tblGrid>
      <w:tr>
        <w:trPr/>
        <w:tc>
          <w:tcPr>
            <w:tcW w:w="190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Managed Trust Balance as of Beginning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1,750</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1,945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1,901</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2,018</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relationships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Closed relationships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 change,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2,027</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2,027</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Directed Trust Balance as of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2,024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1,934</w:t>
            </w: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relationships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Closed relationships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 change,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1,958</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Investment Agency Balance as of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1,609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1,532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1,584</w:t>
            </w: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relationships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Closed relationships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 change,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1,699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1,577</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1,699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1,577</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Custody Balance as of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589</w:t>
            </w: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relationships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Closed relationships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 change,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651</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651</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727</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 Under Management Excluding 401(k)/Retirement Balances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6,069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6,125</w:t>
            </w: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New relationships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Closed relationships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Withdrawals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 change,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 Under Management Excluding 401(k)/Retirement Balances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6,289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6,126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6,289</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401(k)/Retirement Balance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1,208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1,208</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 Under Management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7,276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7,497</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7,276</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7,497</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Yield*</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0.26</w:t>
            </w: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0.24</w:t>
            </w: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0.26</w:t>
            </w: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0.25</w:t>
            </w:r>
            <w:r>
              <w:rPr>
                <w:color w:val="000000"/>
              </w:rPr>
              <w:t>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*Trust &amp; investment management fees divided by period end balance.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AUM increased $41.0 million, or 0.6%, during the three months ended June 30, 2026, primarily attributable to improving market conditions. For the six months ended June 30, 2026, AUM decreased $2.0 million, or 0.03%.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Debt securities we intend to hold for an indefinite period of time, but not necessarily to maturity, are classified as available-for-sale and are recorded at fair value using current market information from a third-party pricing service, with unrealized gains and losses excluded from earnings and reported in OCI, net of tax. The carrying values of our debt securities classified as AFS are adjusted for unrealized gain or loss, and any gain or loss is reported on an after-tax basis as a component of OCI in shareholders’ equity. As of June 30, 2026 and December 31, 2025, investments in debt securities classified as AFS totaled $89.6 million and $45.6 million,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Debt securities for which we have the intent and ability to hold to their maturity are classified as HTM debt securities and are recorded at amortized cost. Debt securities HTM are carried at cost, adjusted for the amortization of premiums and the accretion of discounts using the level-yield method over the remaining period until maturity. As of June 30, 2026 and December 31, 2025, investments in debt securities classified as HTM totaled $116.8 million and $95.0 million,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provides information regarding contractual maturities and weighted average yield for our investment securities as of the dates presented. Contractual maturities may differ from expected maturities because issuers can have the right to call or prepay obligations without penalties. Our investments are taxable securities. The weighted average yield for each range of maturities was calculated using the yield on each security within that range weighted by the amortized cost of each security. Weighted average yields are not presented on a taxable equivalent basis. </w:t>
      </w:r>
    </w:p>
    <w:tbl>
      <w:tblPr>
        <w:tblW w:w="11373" w:type="dxa"/>
        <w:jc w:val="left"/>
        <w:tblInd w:w="0" w:type="dxa"/>
        <w:tblLayout w:type="fixed"/>
        <w:tblCellMar>
          <w:top w:w="28" w:type="dxa"/>
          <w:left w:w="28" w:type="dxa"/>
          <w:bottom w:w="28" w:type="dxa"/>
          <w:right w:w="28" w:type="dxa"/>
        </w:tblCellMar>
      </w:tblPr>
      <w:tblGrid>
        <w:gridCol w:w="553"/>
        <w:gridCol w:w="486"/>
        <w:gridCol w:w="492"/>
        <w:gridCol w:w="211"/>
        <w:gridCol w:w="616"/>
        <w:gridCol w:w="109"/>
        <w:gridCol w:w="109"/>
        <w:gridCol w:w="109"/>
        <w:gridCol w:w="109"/>
        <w:gridCol w:w="255"/>
        <w:gridCol w:w="256"/>
        <w:gridCol w:w="376"/>
        <w:gridCol w:w="109"/>
        <w:gridCol w:w="109"/>
        <w:gridCol w:w="109"/>
        <w:gridCol w:w="211"/>
        <w:gridCol w:w="616"/>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427"/>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Maturities as of June 30, 2026</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After Ten Years </w:t>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4"/>
              </w:rPr>
            </w:pPr>
            <w:r>
              <w:rPr>
                <w:rFonts w:ascii="Times New Roman;serif" w:hAnsi="Times New Roman;serif"/>
                <w:b/>
                <w:i/>
                <w:color w:val="000000"/>
                <w:sz w:val="14"/>
              </w:rPr>
              <w:t>(dollars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 xml:space="preserve">Average </w:t>
              <w:br/>
              <w:t xml:space="preserve">Yield </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issued by U.S. government agencies and sponsored enterprises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 and sponsored enterprises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issued by U.S. government agencies and sponsored enterprises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 issued by U.S. government agencies and sponsored enterprises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tbl>
      <w:tblPr>
        <w:tblW w:w="11268" w:type="dxa"/>
        <w:jc w:val="left"/>
        <w:tblInd w:w="0" w:type="dxa"/>
        <w:tblLayout w:type="fixed"/>
        <w:tblCellMar>
          <w:top w:w="28" w:type="dxa"/>
          <w:left w:w="28" w:type="dxa"/>
          <w:bottom w:w="28" w:type="dxa"/>
          <w:right w:w="28" w:type="dxa"/>
        </w:tblCellMar>
      </w:tblPr>
      <w:tblGrid>
        <w:gridCol w:w="597"/>
        <w:gridCol w:w="525"/>
        <w:gridCol w:w="409"/>
        <w:gridCol w:w="211"/>
        <w:gridCol w:w="406"/>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42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Maturities as of December 31,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After 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After 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After Ten Years </w:t>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 xml:space="preserve">Average </w:t>
              <w:br/>
              <w:t xml:space="preserve">Yield </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issued by U.S. government agencies and sponsored enterprises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 and sponsored enterprises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issued by U.S. government agencies and sponsored enterprises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 - 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 issued by U.S. government agencies and sponsored enterprises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for Debt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measures expected credit losses on debt securities on a collective basis by major security type. The majority of our HTM investment portfolio consists of debt securities issued by U.S. government entities and agencies and we consider the risk of credit loss to be zero and, therefore, we do not record an ACL. The Company's non-government backed debt securities include private label MBS, corporate bonds, and municipal bonds. The ACL on HTM debt securities was $0.2 million and $0.1 million as of June 30, 2026 and December 31, 2025, respectively. There was no ACL on AFS debt securities as of June 30, 2026 and December 31,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Loan Portfolio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primary source of interest income is derived through interest earned on loans to high net worth individuals and their related commercial interests. Our senior lending and credit team consists of seasoned, experienced personnel and we believe that our officers are well versed in the types of lending in which we are engaged. Underwriting policies and decisions are managed centrally and the approval process is tiered based on loan size, making the process consistent, efficient, and effective. The management team and credit culture demands prudent, practical, and conservative approaches to all credit requests in compliance with the credit policy guidelines to ensure strong credit underwriting practices.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originating loans for our own portfolio, we conduct mortgage banking activities in which we originate and sell servicing-released, whole loans in the secondary market. Our mortgage banking loan sale activities are primarily directed at originating single family mortgages that are priced and underwritten to conform to previously agreed-upon criteria before loan funding and are delivered to the investor shortly after funding. The level of future loan originations, loan sales, and loan repayments depends on overall credit availability, the interest rate environment, the strength of the general economy, local real estate markets and the housing industry, and conditions in the secondary loan sale market. The amount of gain or loss on the sale of loans is primarily driven by market conditions and changes in interest rates, as well as our pricing and asset liability management strategies. As of June 30, 2026 and December 31, 2025, we had Mortgage loans held for sale of $24.7 million and $40.2 million, respectively, of residential mortgage loans we originated.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$1.8 million in loans accounted for under the fair value option with an unpaid principal balance amount of $1.8 million. As of December 31, 2025, the Company had $3.2 million in loans accounted for under the fair value option with an unpaid principal balance amount of $3.2 million. See Note 12 – Fair Value in the Notes to Condensed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amortized cost of our loan portfolio by type of loan as of the dates noted:</w:t>
      </w:r>
    </w:p>
    <w:tbl>
      <w:tblPr>
        <w:tblW w:w="9928" w:type="dxa"/>
        <w:jc w:val="left"/>
        <w:tblInd w:w="0" w:type="dxa"/>
        <w:tblLayout w:type="fixed"/>
        <w:tblCellMar>
          <w:top w:w="28" w:type="dxa"/>
          <w:left w:w="28" w:type="dxa"/>
          <w:bottom w:w="28" w:type="dxa"/>
          <w:right w:w="28" w:type="dxa"/>
        </w:tblCellMar>
      </w:tblPr>
      <w:tblGrid>
        <w:gridCol w:w="1591"/>
        <w:gridCol w:w="1398"/>
        <w:gridCol w:w="1406"/>
        <w:gridCol w:w="196"/>
        <w:gridCol w:w="871"/>
        <w:gridCol w:w="109"/>
        <w:gridCol w:w="109"/>
        <w:gridCol w:w="109"/>
        <w:gridCol w:w="109"/>
        <w:gridCol w:w="319"/>
        <w:gridCol w:w="237"/>
        <w:gridCol w:w="511"/>
        <w:gridCol w:w="109"/>
        <w:gridCol w:w="109"/>
        <w:gridCol w:w="109"/>
        <w:gridCol w:w="196"/>
        <w:gridCol w:w="871"/>
        <w:gridCol w:w="109"/>
        <w:gridCol w:w="109"/>
        <w:gridCol w:w="109"/>
        <w:gridCol w:w="109"/>
        <w:gridCol w:w="304"/>
        <w:gridCol w:w="252"/>
        <w:gridCol w:w="577"/>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 at amortized cost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Portfolio layer method basis adjustment for hedged portfolio</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accounted for under the fair value option</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held for investment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Mortgage loans held for sale, at fair value</w:t>
            </w:r>
            <w:r>
              <w:rPr>
                <w:rFonts w:ascii="Times New Roman;serif" w:hAnsi="Times New Roman;serif"/>
                <w:b w:val="false"/>
                <w:color w:val="000000"/>
                <w:sz w:val="12"/>
              </w:rPr>
              <w:t>(2)</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16"/>
        </w:rPr>
        <w:t>Includes $1.8 million and $3.2 million of unpaid principal balance of Loans held for investment accounted for under fair value option as of June 30, 2026 and December 31, 2025, respectively.</w:t>
      </w:r>
    </w:p>
    <w:p>
      <w:pPr>
        <w:pStyle w:val="TextBody"/>
        <w:bidi w:val="0"/>
        <w:spacing w:lineRule="auto" w:line="288" w:before="0" w:after="0"/>
        <w:ind w:left="0" w:right="0" w:hanging="180"/>
        <w:jc w:val="both"/>
        <w:rPr/>
      </w:pPr>
      <w:r>
        <w:rPr>
          <w:rFonts w:ascii="Times New Roman;serif" w:hAnsi="Times New Roman;serif"/>
          <w:b w:val="false"/>
          <w:color w:val="000000"/>
          <w:sz w:val="13"/>
          <w:shd w:fill="FFFFFF" w:val="clear"/>
        </w:rPr>
        <w:t>(2)</w:t>
      </w:r>
      <w:r>
        <w:rPr>
          <w:rFonts w:ascii="Times New Roman;serif" w:hAnsi="Times New Roman;serif"/>
          <w:b w:val="false"/>
          <w:color w:val="000000"/>
          <w:sz w:val="16"/>
        </w:rPr>
        <w:t>Includes $24.3 million and $39.5 million</w:t>
      </w:r>
      <w:r>
        <w:rPr>
          <w:color w:val="000000"/>
          <w:shd w:fill="FFFFFF" w:val="clear"/>
        </w:rPr>
        <w:t xml:space="preserve"> </w:t>
      </w:r>
      <w:r>
        <w:rPr>
          <w:rFonts w:ascii="Times New Roman;serif" w:hAnsi="Times New Roman;serif"/>
          <w:b w:val="false"/>
          <w:color w:val="000000"/>
          <w:sz w:val="16"/>
          <w:shd w:fill="FFFFFF" w:val="clear"/>
        </w:rPr>
        <w:t>of unpaid principal balance of Mortgage loans held for sale as of June 30, 2026 and December 31, 2025, respectively.</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i/>
          <w:color w:val="000000"/>
          <w:sz w:val="20"/>
        </w:rPr>
        <w:t>Cash, securities, and other—</w:t>
      </w:r>
      <w:r>
        <w:rPr>
          <w:rFonts w:ascii="Times New Roman;serif" w:hAnsi="Times New Roman;serif"/>
          <w:b w:val="false"/>
          <w:color w:val="000000"/>
          <w:sz w:val="20"/>
        </w:rPr>
        <w:t>consists of consumer and commercial purpose loans, which are primarily secured by securities managed and under custody with us, cash on deposit with us, or life insurance policies. In addition, loans in this portfolio are collateralized with other sources of collateral. This segment of our portfolio is affected by a variety of local and national economic factors affecting borrowers’ employment prospects, income levels, and overall economic sentiment.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Consumer and other—</w:t>
      </w:r>
      <w:r>
        <w:rPr>
          <w:rFonts w:ascii="Times New Roman;serif" w:hAnsi="Times New Roman;serif"/>
          <w:b w:val="false"/>
          <w:color w:val="000000"/>
          <w:sz w:val="20"/>
        </w:rPr>
        <w:t xml:space="preserve">consists of unsecured consumer loans. This segment of our portfolio is affected by a variety of local and national economic factors affecting borrowers’ employment prospects, income levels, and overall economic sentiment. Loans held for investment accounted for under the fair value option are primarily consumer and other loans and are presented separately within the above table.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Construction and development</w:t>
      </w:r>
      <w:r>
        <w:rPr>
          <w:color w:val="000000"/>
        </w:rPr>
        <w:t>—</w:t>
      </w:r>
      <w:r>
        <w:rPr>
          <w:rFonts w:ascii="Times New Roman;serif" w:hAnsi="Times New Roman;serif"/>
          <w:b w:val="false"/>
          <w:color w:val="000000"/>
          <w:sz w:val="20"/>
        </w:rPr>
        <w:t>consists of loans to finance the construction of residential and non-residential properties. These loans are dependent on the strength of the industries of the related borrowers and the risks consistent with construction projects.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1-4 family residential—</w:t>
      </w:r>
      <w:r>
        <w:rPr>
          <w:rFonts w:ascii="Times New Roman;serif" w:hAnsi="Times New Roman;serif"/>
          <w:b w:val="false"/>
          <w:color w:val="000000"/>
          <w:sz w:val="20"/>
        </w:rPr>
        <w:t>consists of loans and home equity lines of credit secured by 1-4 family residential properties. These loans typically enable borrowers to purchase or refinance existing homes, most of which serve as the primary residence of the owner. In addition, some borrowers secure a commercial purpose loan with owner occupied or non-owner occupied 1-4 family residential properties. Loans in this segment are dependent on the industries tied to these loans as well as the national and local economies, and local residential and commercial real estate markets</w:t>
      </w:r>
      <w:r>
        <w:rPr>
          <w:rFonts w:ascii="Times;sans-serif" w:hAnsi="Times;sans-serif"/>
          <w:b w:val="false"/>
          <w:color w:val="000000"/>
          <w:sz w:val="20"/>
        </w:rPr>
        <w: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Commercial real estate, owner occupied, and non-owner occupied</w:t>
      </w:r>
      <w:r>
        <w:rPr>
          <w:color w:val="000000"/>
        </w:rPr>
        <w:t>—</w:t>
      </w:r>
      <w:r>
        <w:rPr>
          <w:rFonts w:ascii="Times New Roman;serif" w:hAnsi="Times New Roman;serif"/>
          <w:b w:val="false"/>
          <w:color w:val="000000"/>
          <w:sz w:val="20"/>
        </w:rPr>
        <w:t>consists of commercial loans collateralized by real estate. These loans may be collateralized by owner occupied or non-owner occupied real estate, as well as multi-family residential real estate. These loans are dependent on the strength of the industries of the related borrowers and the success of their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Commercial and industrial</w:t>
      </w:r>
      <w:r>
        <w:rPr>
          <w:color w:val="000000"/>
        </w:rPr>
        <w:t>—</w:t>
      </w:r>
      <w:r>
        <w:rPr>
          <w:rFonts w:ascii="Times New Roman;serif" w:hAnsi="Times New Roman;serif"/>
          <w:b w:val="false"/>
          <w:color w:val="000000"/>
          <w:sz w:val="20"/>
        </w:rPr>
        <w:t>consists of commercial and industrial loans, including working capital lines of credit, permanent working capital term loans, business asset loans, acquisition, expansion and development loans, and other loan products, primarily in our target markets. This portfolio primarily consists of term loans and lines of credit which are dependent on the strength of the industries of the related borrowers and the success of their businesses.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One of the larger categories of the Company’s loan portfolio is Commercial Real Estate (CRE). The following provides balances by asset type of the Company’s CRE portfolio:</w:t>
      </w:r>
    </w:p>
    <w:tbl>
      <w:tblPr>
        <w:tblW w:w="9356" w:type="dxa"/>
        <w:jc w:val="left"/>
        <w:tblInd w:w="0" w:type="dxa"/>
        <w:tblLayout w:type="fixed"/>
        <w:tblCellMar>
          <w:top w:w="28" w:type="dxa"/>
          <w:left w:w="28" w:type="dxa"/>
          <w:bottom w:w="28" w:type="dxa"/>
          <w:right w:w="28" w:type="dxa"/>
        </w:tblCellMar>
      </w:tblPr>
      <w:tblGrid>
        <w:gridCol w:w="907"/>
        <w:gridCol w:w="798"/>
        <w:gridCol w:w="800"/>
        <w:gridCol w:w="243"/>
        <w:gridCol w:w="952"/>
        <w:gridCol w:w="125"/>
        <w:gridCol w:w="109"/>
        <w:gridCol w:w="109"/>
        <w:gridCol w:w="109"/>
        <w:gridCol w:w="309"/>
        <w:gridCol w:w="1211"/>
        <w:gridCol w:w="159"/>
        <w:gridCol w:w="109"/>
        <w:gridCol w:w="109"/>
        <w:gridCol w:w="109"/>
        <w:gridCol w:w="211"/>
        <w:gridCol w:w="826"/>
        <w:gridCol w:w="109"/>
        <w:gridCol w:w="109"/>
        <w:gridCol w:w="109"/>
        <w:gridCol w:w="109"/>
        <w:gridCol w:w="352"/>
        <w:gridCol w:w="352"/>
        <w:gridCol w:w="1021"/>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Owner 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Non-Owner 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of Total CRE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warehouse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and entertainment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 loan portfolio</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221,515 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765,473 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CRE portfolio by geographic location as of the dates indicated:</w:t>
      </w:r>
    </w:p>
    <w:tbl>
      <w:tblPr>
        <w:tblW w:w="5358"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352"/>
        <w:gridCol w:w="352"/>
        <w:gridCol w:w="1021"/>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of Total CRE</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 loan portfolio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CRE portfolio is comprised of loans made to purchase and finance commercial real estate properties. On average, the balances are small and geographically disbursed across our footprint. Specifically, our CRE portfolio has an average loan balance of $2.93 million and $3.10 million with a weighted average loan-to-value ratio (LTV) of 55.0% and 54.3% as of June 30, 2026 and December 31,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Due to the recent trends in the banking industry, there has been increased risk associated with commercial real estate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The Company believes its credit policies are robust and are updated as needed to meet the strategic and risk mitigation goals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contractual maturity ranges of loans in our loan portfolio and the amount of such loans with fixed and floating interest rates in each maturity range, at amortized cost as of the dates noted, are summarized in the following:</w:t>
      </w:r>
    </w:p>
    <w:tbl>
      <w:tblPr>
        <w:tblW w:w="10205" w:type="dxa"/>
        <w:jc w:val="left"/>
        <w:tblInd w:w="0" w:type="dxa"/>
        <w:tblLayout w:type="fixed"/>
        <w:tblCellMar>
          <w:top w:w="28" w:type="dxa"/>
          <w:left w:w="28" w:type="dxa"/>
          <w:bottom w:w="28" w:type="dxa"/>
          <w:right w:w="28" w:type="dxa"/>
        </w:tblCellMar>
      </w:tblPr>
      <w:tblGrid>
        <w:gridCol w:w="1052"/>
        <w:gridCol w:w="865"/>
        <w:gridCol w:w="870"/>
        <w:gridCol w:w="196"/>
        <w:gridCol w:w="736"/>
        <w:gridCol w:w="109"/>
        <w:gridCol w:w="109"/>
        <w:gridCol w:w="109"/>
        <w:gridCol w:w="109"/>
        <w:gridCol w:w="234"/>
        <w:gridCol w:w="1041"/>
        <w:gridCol w:w="130"/>
        <w:gridCol w:w="109"/>
        <w:gridCol w:w="109"/>
        <w:gridCol w:w="109"/>
        <w:gridCol w:w="258"/>
        <w:gridCol w:w="971"/>
        <w:gridCol w:w="143"/>
        <w:gridCol w:w="109"/>
        <w:gridCol w:w="109"/>
        <w:gridCol w:w="109"/>
        <w:gridCol w:w="200"/>
        <w:gridCol w:w="755"/>
        <w:gridCol w:w="111"/>
        <w:gridCol w:w="109"/>
        <w:gridCol w:w="109"/>
        <w:gridCol w:w="109"/>
        <w:gridCol w:w="196"/>
        <w:gridCol w:w="871"/>
        <w:gridCol w:w="159"/>
      </w:tblGrid>
      <w:tr>
        <w:trPr/>
        <w:tc>
          <w:tcPr>
            <w:tcW w:w="10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One 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Five Through</w:t>
              <w:br/>
              <w:t>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w:t>
              <w:br/>
              <w:t>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124,013 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823,034 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473,830 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1,078,787 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190,430 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839,040 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accounted for under the fair value option</w:t>
            </w:r>
            <w:r>
              <w:rPr>
                <w:rFonts w:ascii="Times New Roman;serif" w:hAnsi="Times New Roman;serif"/>
                <w:b w:val="false"/>
                <w:color w:val="000000"/>
                <w:sz w:val="12"/>
              </w:rPr>
              <w:t>(1)</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1,079,443 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190,430 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839,040 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2,713,688 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fixed rates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671,960 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86,836 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1,082,170 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floating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813,781 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1,631,518 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1,079,443 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190,430 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839,040 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2,713,688 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2"/>
        <w:gridCol w:w="865"/>
        <w:gridCol w:w="870"/>
        <w:gridCol w:w="196"/>
        <w:gridCol w:w="736"/>
        <w:gridCol w:w="109"/>
        <w:gridCol w:w="109"/>
        <w:gridCol w:w="109"/>
        <w:gridCol w:w="109"/>
        <w:gridCol w:w="234"/>
        <w:gridCol w:w="1041"/>
        <w:gridCol w:w="130"/>
        <w:gridCol w:w="109"/>
        <w:gridCol w:w="109"/>
        <w:gridCol w:w="109"/>
        <w:gridCol w:w="258"/>
        <w:gridCol w:w="971"/>
        <w:gridCol w:w="143"/>
        <w:gridCol w:w="109"/>
        <w:gridCol w:w="109"/>
        <w:gridCol w:w="109"/>
        <w:gridCol w:w="200"/>
        <w:gridCol w:w="755"/>
        <w:gridCol w:w="111"/>
        <w:gridCol w:w="109"/>
        <w:gridCol w:w="109"/>
        <w:gridCol w:w="109"/>
        <w:gridCol w:w="196"/>
        <w:gridCol w:w="871"/>
        <w:gridCol w:w="159"/>
      </w:tblGrid>
      <w:tr>
        <w:trPr/>
        <w:tc>
          <w:tcPr>
            <w:tcW w:w="10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One 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Five Through</w:t>
              <w:br/>
              <w:t>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w:t>
              <w:br/>
              <w:t>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484,339 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1,009,729 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183,122 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807,262 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2,646,302 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Loans accounted for under the fair value option</w:t>
            </w:r>
            <w:r>
              <w:rPr>
                <w:rFonts w:ascii="Times New Roman;serif" w:hAnsi="Times New Roman;serif"/>
                <w:b w:val="false"/>
                <w:color w:val="000000"/>
                <w:sz w:val="12"/>
              </w:rPr>
              <w:t>(1)</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1,012,233 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183,122 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807,262 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2,649,484 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fixed rates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624,158 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94,365 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1,042,563 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with floating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1,606,921 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646,867 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1,012,233 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183,122 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807,262 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2,649,484 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24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16"/>
        </w:rPr>
        <w:t>Loans accounted for under the fair value option are disclosed at fair value rather than amortized cost.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Non-Performing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Non-performing assets include non-accrual loans and OREO. The accrual of interest on loans is discontinued at the time the loan becomes 90 or more days delinquent unless the loan is well secured and in the process of collection or renewal due to maturity. Past due status is based on the contractual terms of the loan. In all cases, loans are placed on non-accrual status or charged off if collection of interest or principal is considered doubtful.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OREO represents assets acquired through, or in lieu of, foreclosure. The amounts reported as OREO are supported by recent appraisals, with the appraised values adjusted, where applicable, for expected transaction fees likely to be incurred upon sale of the property. We incur recurring expenses relating to OREO in the form of maintenance, taxes, insurance, and legal fees, among others, until the OREO property is disposed. During 2025, the Company sold two OREO properties resulting in a net gain on sale of $0.5 million. During the first quarter or 2026, the Company sold its last remaining OREO property resulting in a nominal loss. As of June 30, 2026, the Company had no OREO properties. As of December 31, 2025, the Company had one OREO property with a carrying amount of $3.0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reversed an immaterial amount of interest on non-accrual loans during the three months ended June 30, 2026 and 2025, respectively. The amount of interest income that would have been recognized on loans accounted for on a non-accrual basis pursuant to contractual terms was $0.6 million for the three month periods ended June 30, 2026 and 2025. The Company reversed an immaterial amount of interest on non-accrual loans during the six month periods ended June 30, 2026 and 2025. The amount of interest income that would have been recognized on loans accounted for on a non-accrual basis pursuant to contractual terms was $1.2 million for the six month periods ended June 30, 2026 and 2025.</w:t>
      </w:r>
    </w:p>
    <w:p>
      <w:pPr>
        <w:pStyle w:val="TextBody"/>
        <w:bidi w:val="0"/>
        <w:spacing w:lineRule="auto" w:line="288" w:before="120" w:after="283"/>
        <w:jc w:val="both"/>
        <w:rPr/>
      </w:pPr>
      <w:r>
        <w:rPr>
          <w:rFonts w:ascii="Times New Roman;serif" w:hAnsi="Times New Roman;serif"/>
          <w:b w:val="false"/>
          <w:color w:val="000000"/>
          <w:sz w:val="20"/>
        </w:rPr>
        <w:t xml:space="preserve">We had amortized cost of $16.1 million and $19.6 million in non-performing assets as of June 30, 2026 and December 31, 2025, respectively. The decrease in non-performing assets was </w:t>
      </w:r>
      <w:r>
        <w:rPr>
          <w:rFonts w:ascii="Times New Roman;serif" w:hAnsi="Times New Roman;serif"/>
          <w:b w:val="false"/>
          <w:color w:val="0A0A0A"/>
          <w:sz w:val="20"/>
        </w:rPr>
        <w:t>primarily driven by the sale of the Company's last remaining OREO property and pay downs.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amortized cost basis of non-performing assets as of the dates noted:</w:t>
      </w:r>
    </w:p>
    <w:tbl>
      <w:tblPr>
        <w:tblW w:w="6767" w:type="dxa"/>
        <w:jc w:val="left"/>
        <w:tblInd w:w="0" w:type="dxa"/>
        <w:tblLayout w:type="fixed"/>
        <w:tblCellMar>
          <w:top w:w="28" w:type="dxa"/>
          <w:left w:w="28" w:type="dxa"/>
          <w:bottom w:w="28" w:type="dxa"/>
          <w:right w:w="28" w:type="dxa"/>
        </w:tblCellMar>
      </w:tblPr>
      <w:tblGrid>
        <w:gridCol w:w="1444"/>
        <w:gridCol w:w="1271"/>
        <w:gridCol w:w="1274"/>
        <w:gridCol w:w="211"/>
        <w:gridCol w:w="721"/>
        <w:gridCol w:w="271"/>
        <w:gridCol w:w="109"/>
        <w:gridCol w:w="109"/>
        <w:gridCol w:w="109"/>
        <w:gridCol w:w="211"/>
        <w:gridCol w:w="721"/>
        <w:gridCol w:w="316"/>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 by category</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securities,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non-accrual loans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OREO</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Non-accrual loans to total loans</w:t>
            </w:r>
            <w:r>
              <w:rPr>
                <w:rFonts w:ascii="Times New Roman;serif" w:hAnsi="Times New Roman;serif"/>
                <w:b w:val="false"/>
                <w:color w:val="000000"/>
                <w:sz w:val="13"/>
              </w:rPr>
              <w:t>(2)</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non-accrual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90 or more days past due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Held at the lower of cost or fair value as described in Note 12.</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Excludes Mortgage loans held for sale of $24.7 million and $40.2 million</w:t>
      </w:r>
      <w:r>
        <w:rPr>
          <w:color w:val="000000"/>
        </w:rPr>
        <w:t xml:space="preserve"> </w:t>
      </w:r>
      <w:r>
        <w:rPr>
          <w:rFonts w:ascii="Times New Roman;serif" w:hAnsi="Times New Roman;serif"/>
          <w:b w:val="false"/>
          <w:color w:val="000000"/>
          <w:sz w:val="16"/>
        </w:rPr>
        <w:t xml:space="preserve">as of June 30, 2026 and December 31, 2025, respectively. Excludes $1.8 million and $3.2 million of loans held for investment </w:t>
      </w:r>
      <w:r>
        <w:rPr>
          <w:rFonts w:ascii="Times New Roman;serif" w:hAnsi="Times New Roman;serif"/>
          <w:b w:val="false"/>
          <w:color w:val="000000"/>
          <w:sz w:val="16"/>
          <w:shd w:fill="FFFFFF" w:val="clear"/>
        </w:rPr>
        <w:t xml:space="preserve">accounted for under the fair value option </w:t>
      </w:r>
      <w:r>
        <w:rPr>
          <w:rFonts w:ascii="Times New Roman;serif" w:hAnsi="Times New Roman;serif"/>
          <w:b w:val="false"/>
          <w:color w:val="000000"/>
          <w:sz w:val="16"/>
        </w:rPr>
        <w:t>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amortized cost basis of loans by credit quality indicator, by class of financing receivable, as of the dates noted:</w:t>
      </w:r>
    </w:p>
    <w:tbl>
      <w:tblPr>
        <w:tblW w:w="9895" w:type="dxa"/>
        <w:jc w:val="left"/>
        <w:tblInd w:w="0" w:type="dxa"/>
        <w:tblLayout w:type="fixed"/>
        <w:tblCellMar>
          <w:top w:w="28" w:type="dxa"/>
          <w:left w:w="28" w:type="dxa"/>
          <w:bottom w:w="28" w:type="dxa"/>
          <w:right w:w="28" w:type="dxa"/>
        </w:tblCellMar>
      </w:tblPr>
      <w:tblGrid>
        <w:gridCol w:w="825"/>
        <w:gridCol w:w="725"/>
        <w:gridCol w:w="729"/>
        <w:gridCol w:w="196"/>
        <w:gridCol w:w="871"/>
        <w:gridCol w:w="109"/>
        <w:gridCol w:w="109"/>
        <w:gridCol w:w="109"/>
        <w:gridCol w:w="109"/>
        <w:gridCol w:w="196"/>
        <w:gridCol w:w="646"/>
        <w:gridCol w:w="109"/>
        <w:gridCol w:w="109"/>
        <w:gridCol w:w="109"/>
        <w:gridCol w:w="109"/>
        <w:gridCol w:w="210"/>
        <w:gridCol w:w="693"/>
        <w:gridCol w:w="118"/>
        <w:gridCol w:w="109"/>
        <w:gridCol w:w="109"/>
        <w:gridCol w:w="109"/>
        <w:gridCol w:w="207"/>
        <w:gridCol w:w="428"/>
        <w:gridCol w:w="116"/>
        <w:gridCol w:w="109"/>
        <w:gridCol w:w="109"/>
        <w:gridCol w:w="109"/>
        <w:gridCol w:w="196"/>
        <w:gridCol w:w="556"/>
        <w:gridCol w:w="109"/>
        <w:gridCol w:w="109"/>
        <w:gridCol w:w="109"/>
        <w:gridCol w:w="109"/>
        <w:gridCol w:w="196"/>
        <w:gridCol w:w="87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Special </w:t>
              <w:br/>
              <w:t>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Doubtful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 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181,949 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Consumer and other</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2,600,715 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2,713,688 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95" w:type="dxa"/>
        <w:jc w:val="left"/>
        <w:tblInd w:w="0" w:type="dxa"/>
        <w:tblLayout w:type="fixed"/>
        <w:tblCellMar>
          <w:top w:w="28" w:type="dxa"/>
          <w:left w:w="28" w:type="dxa"/>
          <w:bottom w:w="28" w:type="dxa"/>
          <w:right w:w="28" w:type="dxa"/>
        </w:tblCellMar>
      </w:tblPr>
      <w:tblGrid>
        <w:gridCol w:w="825"/>
        <w:gridCol w:w="725"/>
        <w:gridCol w:w="729"/>
        <w:gridCol w:w="196"/>
        <w:gridCol w:w="871"/>
        <w:gridCol w:w="109"/>
        <w:gridCol w:w="109"/>
        <w:gridCol w:w="109"/>
        <w:gridCol w:w="109"/>
        <w:gridCol w:w="196"/>
        <w:gridCol w:w="646"/>
        <w:gridCol w:w="109"/>
        <w:gridCol w:w="109"/>
        <w:gridCol w:w="109"/>
        <w:gridCol w:w="109"/>
        <w:gridCol w:w="210"/>
        <w:gridCol w:w="693"/>
        <w:gridCol w:w="118"/>
        <w:gridCol w:w="109"/>
        <w:gridCol w:w="109"/>
        <w:gridCol w:w="109"/>
        <w:gridCol w:w="207"/>
        <w:gridCol w:w="428"/>
        <w:gridCol w:w="116"/>
        <w:gridCol w:w="109"/>
        <w:gridCol w:w="109"/>
        <w:gridCol w:w="109"/>
        <w:gridCol w:w="196"/>
        <w:gridCol w:w="556"/>
        <w:gridCol w:w="109"/>
        <w:gridCol w:w="109"/>
        <w:gridCol w:w="109"/>
        <w:gridCol w:w="109"/>
        <w:gridCol w:w="196"/>
        <w:gridCol w:w="87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Special</w:t>
              <w:br/>
              <w:t>Mention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Substandard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Doubtful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 Rated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Consumer and other</w:t>
            </w:r>
            <w:r>
              <w:rPr>
                <w:rFonts w:ascii="Times New Roman;serif" w:hAnsi="Times New Roman;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2,531,858 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99,411 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2,649,484 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24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Includes $1.8 million and $3.2 million of loans held for investment accounted for under fair value option as of June 30, 2026 and December 31,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non-accrual loans of $16.1 million and $16.6 million, respectively, were included in the substandard category in the table above.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on Loans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ACL for loans represents Management’s best estimate of CECL on loans considering available information, from internal and external sources, relevant to assessing collectability over the loans’ contractual terms, adjusted for expected prepayments when appropriate. Our quantitative DCF models use twelve-month economic forecasts including; HPI, GDP, and national unemployment. The ACL decreased $1.1 million during the six months ended June 30, 2026. The ACL on pooled loans was $17.8 million and $18.0 million as of June 30, 2026 and December 31, 2025, respectively. The $0.2 million reverse provision on pooled loans for the six months ended June 30, 2026 was primarily due to improved economic forecasts, partially offset by loan growth. The ACL on individually analyzed loans was $2.5 million and $3.4 million as of June 30, 2026 and December 31, 2025, respectively. The $0.9 million release of provision on individually analyzed loans for the six months ended June 30, 2026 was primarily attributable to pay downs and increases in collateral fair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summary information regarding our ACL for the periods presented:</w:t>
      </w:r>
    </w:p>
    <w:tbl>
      <w:tblPr>
        <w:tblW w:w="9978" w:type="dxa"/>
        <w:jc w:val="left"/>
        <w:tblInd w:w="0" w:type="dxa"/>
        <w:tblLayout w:type="fixed"/>
        <w:tblCellMar>
          <w:top w:w="28" w:type="dxa"/>
          <w:left w:w="28" w:type="dxa"/>
          <w:bottom w:w="28" w:type="dxa"/>
          <w:right w:w="28" w:type="dxa"/>
        </w:tblCellMar>
      </w:tblPr>
      <w:tblGrid>
        <w:gridCol w:w="1325"/>
        <w:gridCol w:w="1165"/>
        <w:gridCol w:w="1170"/>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Average loans outstanding</w:t>
            </w:r>
            <w:r>
              <w:rPr>
                <w:rFonts w:ascii="Times New Roman;serif" w:hAnsi="Times New Roman;serif"/>
                <w:b w:val="false"/>
                <w:color w:val="000000"/>
                <w:sz w:val="12"/>
              </w:rPr>
              <w:t>(1)(2)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2,712,366 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2,443,758 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2,698,637 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2,425,720 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loans outstanding at end of period</w:t>
            </w:r>
            <w:r>
              <w:rPr>
                <w:rFonts w:ascii="Times New Roman;serif" w:hAnsi="Times New Roman;serif"/>
                <w:b w:val="false"/>
                <w:color w:val="000000"/>
                <w:sz w:val="12"/>
              </w:rPr>
              <w:t>(3)</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2,534,997 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2,711,930 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2,534,997 </w:t>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at beginning of period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20,801 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17,956 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21,441 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18,330 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charge-offs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32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recoveries</w:t>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charge-offs</w:t>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at end of period</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18,994 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20,297 </w:t>
            </w:r>
          </w:p>
        </w:tc>
        <w:tc>
          <w:tcPr>
            <w:tcW w:w="2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18,994 </w:t>
            </w:r>
          </w:p>
        </w:tc>
        <w:tc>
          <w:tcPr>
            <w:tcW w:w="30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to total loans</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average loans</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Average balances are average daily balances.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rFonts w:ascii="Times New Roman;serif" w:hAnsi="Times New Roman;serif"/>
          <w:b w:val="false"/>
          <w:color w:val="000000"/>
          <w:sz w:val="16"/>
        </w:rPr>
        <w:t>Excludes average outstanding balances of Mortgage loans held for sale of $22.8 million and $18.8 million for the three months ended June 30, 2026 and 2025, respectively, and $26.7 million and $16.2 million for the six months ended June 30, 2026 and 2025, respectively. Excludes average outstanding balances of loans held for investment under the fair value option of $2.2 million and $5.7 million for the three months ended June 30, 2026 and 2025, respectively, and $2.6 million and $6.3 million for the six months ended June 30, 2026 and 2025,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Excludes Mortgage loans held for sale of $24.7 million and $24.2 million as of June 30, 2026 and 2025, respectively. Excludes $1.8 million and $5.1 million of loans held for investment accounted for under the fair value option as of June 30, 2026 and 2025, respectively.</w:t>
      </w:r>
    </w:p>
    <w:p>
      <w:pPr>
        <w:pStyle w:val="TextBody"/>
        <w:bidi w:val="0"/>
        <w:spacing w:lineRule="auto" w:line="288" w:before="0" w:after="12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*Represents percentages that are not meaningful.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allocation of the ACL among loan categories and other summary information. The allocation for credit losses by category should neither be interpreted as an indication of future charge-offs, nor as an indication that charge-offs in future periods will necessarily occur in these amounts or in the indicated proportions. The allocation of a portion of the ACL to one category of loans does not preclude its availability to absorb losses in other categories.</w:t>
      </w:r>
    </w:p>
    <w:tbl>
      <w:tblPr>
        <w:tblW w:w="7098" w:type="dxa"/>
        <w:jc w:val="left"/>
        <w:tblInd w:w="0" w:type="dxa"/>
        <w:tblLayout w:type="fixed"/>
        <w:tblCellMar>
          <w:top w:w="28" w:type="dxa"/>
          <w:left w:w="28" w:type="dxa"/>
          <w:bottom w:w="28" w:type="dxa"/>
          <w:right w:w="28" w:type="dxa"/>
        </w:tblCellMar>
      </w:tblPr>
      <w:tblGrid>
        <w:gridCol w:w="869"/>
        <w:gridCol w:w="763"/>
        <w:gridCol w:w="768"/>
        <w:gridCol w:w="196"/>
        <w:gridCol w:w="646"/>
        <w:gridCol w:w="109"/>
        <w:gridCol w:w="109"/>
        <w:gridCol w:w="109"/>
        <w:gridCol w:w="109"/>
        <w:gridCol w:w="278"/>
        <w:gridCol w:w="278"/>
        <w:gridCol w:w="256"/>
        <w:gridCol w:w="109"/>
        <w:gridCol w:w="109"/>
        <w:gridCol w:w="109"/>
        <w:gridCol w:w="214"/>
        <w:gridCol w:w="706"/>
        <w:gridCol w:w="119"/>
        <w:gridCol w:w="119"/>
        <w:gridCol w:w="119"/>
        <w:gridCol w:w="119"/>
        <w:gridCol w:w="278"/>
        <w:gridCol w:w="278"/>
        <w:gridCol w:w="32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securities,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 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allowance for credit losses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21,441 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12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16"/>
        </w:rPr>
        <w:t>Represents the percentage of loans to total loans in the respective category.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 - off-balance sheet credit exposures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 balance sheet credit exposures as of June 30, 2026 and determined an ACL of $0.6 million was adequate to absorb the estimated credit losses. For additional information regarding the Company’s ACL on off-balance sheet credit exposures, see Note 8 – Commitments and Contingencies in the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Deferred Tax Assets,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Deferred tax assets, net of our valuation allowance, represent the differences in timing of when items are recognized for GAAP purposes and when they are recognized for tax purposes, as well as our net operating losses. Our deferred tax assets, net, are valued based on the amounts that are expected to be recovered in the future utilizing the tax rates in effect at the time recognized. Deferred tax assets, net as of June 30, 2026 were $2.7 million, a decrease of $1.3 million, or 33.1%, from December 31, 2025. The decrease was primarily attributable to changes in temporary differences, most notably the reversal of the OREO allowance upon the sale of the OREO property during the first quarter of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deposit products include money market accounts, demand deposit accounts, time-deposit accounts (typically certificates of deposit), interest checking accounts, and savings accounts. Our accounts are federally insured by the FDIC up to the legal maximum amount.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Total deposits increased by $99.4 million, or 3.6%, to $2.85 billion as of June 30, 2026, from December 31, 2025. Total average deposits for the three months ended June 30, 2026 were $2.73 billion, an increase of $332.8 million, or 13.9%, compared to $2.40 billion for the three months June 30, 2025. Total average deposits for the six months ended June 30, 2026 were $2.73 billion, an increase of $306.7 million, or 12.6%, compared to $2.43 billion for the six months ended June 30, 2025. The increase in average deposits for the three months ended June 30, 2026 compared to the same period in 2025 was primarily due to increases in money market deposit accounts, time deposits, and Noninterest-bearing deposits. The increase in average deposits for the six months ended June 30, 2026 compared to the same period in 2025 was driven primarily by an increase in money market deposit accounts, partially offset by a decrease in time deposit accounts.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average balances and average rates paid on deposits during the periods presented:</w:t>
      </w:r>
    </w:p>
    <w:tbl>
      <w:tblPr>
        <w:tblW w:w="7521" w:type="dxa"/>
        <w:jc w:val="left"/>
        <w:tblInd w:w="0" w:type="dxa"/>
        <w:tblLayout w:type="fixed"/>
        <w:tblCellMar>
          <w:top w:w="28" w:type="dxa"/>
          <w:left w:w="28" w:type="dxa"/>
          <w:bottom w:w="28" w:type="dxa"/>
          <w:right w:w="28" w:type="dxa"/>
        </w:tblCellMar>
      </w:tblPr>
      <w:tblGrid>
        <w:gridCol w:w="858"/>
        <w:gridCol w:w="754"/>
        <w:gridCol w:w="757"/>
        <w:gridCol w:w="196"/>
        <w:gridCol w:w="871"/>
        <w:gridCol w:w="109"/>
        <w:gridCol w:w="109"/>
        <w:gridCol w:w="109"/>
        <w:gridCol w:w="109"/>
        <w:gridCol w:w="233"/>
        <w:gridCol w:w="233"/>
        <w:gridCol w:w="415"/>
        <w:gridCol w:w="109"/>
        <w:gridCol w:w="109"/>
        <w:gridCol w:w="109"/>
        <w:gridCol w:w="196"/>
        <w:gridCol w:w="871"/>
        <w:gridCol w:w="109"/>
        <w:gridCol w:w="109"/>
        <w:gridCol w:w="109"/>
        <w:gridCol w:w="109"/>
        <w:gridCol w:w="233"/>
        <w:gridCol w:w="233"/>
        <w:gridCol w:w="472"/>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 Period Ending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Rate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Deposits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deposit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checking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Uninsured 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time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2,732,733 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21" w:type="dxa"/>
        <w:jc w:val="left"/>
        <w:tblInd w:w="0" w:type="dxa"/>
        <w:tblLayout w:type="fixed"/>
        <w:tblCellMar>
          <w:top w:w="28" w:type="dxa"/>
          <w:left w:w="28" w:type="dxa"/>
          <w:bottom w:w="28" w:type="dxa"/>
          <w:right w:w="28" w:type="dxa"/>
        </w:tblCellMar>
      </w:tblPr>
      <w:tblGrid>
        <w:gridCol w:w="858"/>
        <w:gridCol w:w="754"/>
        <w:gridCol w:w="757"/>
        <w:gridCol w:w="196"/>
        <w:gridCol w:w="871"/>
        <w:gridCol w:w="109"/>
        <w:gridCol w:w="109"/>
        <w:gridCol w:w="109"/>
        <w:gridCol w:w="109"/>
        <w:gridCol w:w="233"/>
        <w:gridCol w:w="233"/>
        <w:gridCol w:w="415"/>
        <w:gridCol w:w="109"/>
        <w:gridCol w:w="109"/>
        <w:gridCol w:w="109"/>
        <w:gridCol w:w="196"/>
        <w:gridCol w:w="871"/>
        <w:gridCol w:w="109"/>
        <w:gridCol w:w="109"/>
        <w:gridCol w:w="109"/>
        <w:gridCol w:w="109"/>
        <w:gridCol w:w="233"/>
        <w:gridCol w:w="233"/>
        <w:gridCol w:w="472"/>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Average </w:t>
              <w:br/>
              <w:t>Rate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Deposits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deposit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checking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Uninsured 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time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2,377,274 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2,733,728 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2,427,044 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Average Noninterest-bearing deposits to average Total deposits was 13.4% and 14.7% for the three months ended June 30, 2026 and 2025, respectively, and 13.0% and 14.8% for the six months ended June 30, 2026 and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average cost of deposits was 2.79% and 3.04% for the three months ended June 30, 2026 and 2025, respectively, and 2.80% and 3.05% for the six months ended June 30, 2026 and 2025, respectively. The decrease in cost of deposits was primarily due to lower rates on money market and time deposits accounts as a result of the Company reducing deposit rates commensurate with short-term rate decreases in 2025 and runoff of higher cost deposit accounts.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Money market deposit accounts as of June 30, 2026 were $1.98 billion, an increase of $61.7 million, or 3.2%, compared to December 31, 2025. Interest checking accounts as of June 30, 2026 were $122.4 million, an increase of $0.1 million, or 0.1%, compared to December 31, 2025. Time deposits as of June 30, 2026 were $353.4 million, an increase of $0.9 million, or 0.3%, from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amount of certificates of deposit by time remaining until maturity as of June 30, 2026:</w:t>
      </w:r>
    </w:p>
    <w:tbl>
      <w:tblPr>
        <w:tblW w:w="9997" w:type="dxa"/>
        <w:jc w:val="left"/>
        <w:tblInd w:w="0" w:type="dxa"/>
        <w:tblLayout w:type="fixed"/>
        <w:tblCellMar>
          <w:top w:w="28" w:type="dxa"/>
          <w:left w:w="28" w:type="dxa"/>
          <w:bottom w:w="28" w:type="dxa"/>
          <w:right w:w="28" w:type="dxa"/>
        </w:tblCellMar>
      </w:tblPr>
      <w:tblGrid>
        <w:gridCol w:w="668"/>
        <w:gridCol w:w="587"/>
        <w:gridCol w:w="589"/>
        <w:gridCol w:w="786"/>
        <w:gridCol w:w="438"/>
        <w:gridCol w:w="441"/>
        <w:gridCol w:w="109"/>
        <w:gridCol w:w="109"/>
        <w:gridCol w:w="109"/>
        <w:gridCol w:w="744"/>
        <w:gridCol w:w="414"/>
        <w:gridCol w:w="417"/>
        <w:gridCol w:w="109"/>
        <w:gridCol w:w="109"/>
        <w:gridCol w:w="109"/>
        <w:gridCol w:w="630"/>
        <w:gridCol w:w="351"/>
        <w:gridCol w:w="353"/>
        <w:gridCol w:w="109"/>
        <w:gridCol w:w="109"/>
        <w:gridCol w:w="109"/>
        <w:gridCol w:w="616"/>
        <w:gridCol w:w="343"/>
        <w:gridCol w:w="345"/>
        <w:gridCol w:w="109"/>
        <w:gridCol w:w="109"/>
        <w:gridCol w:w="109"/>
        <w:gridCol w:w="231"/>
        <w:gridCol w:w="303"/>
        <w:gridCol w:w="43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to 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to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Uninsured time deposits</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75,839</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277,534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353,373</w:t>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Borrowings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short-term and long-term borrowing sources available to supplement deposits and meet our liquidity needs. As of June 30, 2026 and December 31, 2025, borrowings totaled $81.3 million and $107.6 million,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decrease in borrowings as of June 30, 2026 compared to December 31, 2025 was primarily driven by the pay down of the FHLB borrowings.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balances of each of the borrowing facilities as of the dates noted:</w:t>
      </w:r>
    </w:p>
    <w:tbl>
      <w:tblPr>
        <w:tblW w:w="4592" w:type="dxa"/>
        <w:jc w:val="left"/>
        <w:tblInd w:w="0" w:type="dxa"/>
        <w:tblLayout w:type="fixed"/>
        <w:tblCellMar>
          <w:top w:w="28" w:type="dxa"/>
          <w:left w:w="28" w:type="dxa"/>
          <w:bottom w:w="28" w:type="dxa"/>
          <w:right w:w="28" w:type="dxa"/>
        </w:tblCellMar>
      </w:tblPr>
      <w:tblGrid>
        <w:gridCol w:w="771"/>
        <w:gridCol w:w="678"/>
        <w:gridCol w:w="681"/>
        <w:gridCol w:w="196"/>
        <w:gridCol w:w="646"/>
        <w:gridCol w:w="109"/>
        <w:gridCol w:w="109"/>
        <w:gridCol w:w="109"/>
        <w:gridCol w:w="109"/>
        <w:gridCol w:w="213"/>
        <w:gridCol w:w="802"/>
        <w:gridCol w:w="169"/>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w:t>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Borrowings</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107,613 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FHLB</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additional information on our FHLB borrowings:</w:t>
      </w:r>
    </w:p>
    <w:tbl>
      <w:tblPr>
        <w:tblW w:w="7545" w:type="dxa"/>
        <w:jc w:val="left"/>
        <w:tblInd w:w="0" w:type="dxa"/>
        <w:tblLayout w:type="fixed"/>
        <w:tblCellMar>
          <w:top w:w="28" w:type="dxa"/>
          <w:left w:w="28" w:type="dxa"/>
          <w:bottom w:w="28" w:type="dxa"/>
          <w:right w:w="28" w:type="dxa"/>
        </w:tblCellMar>
      </w:tblPr>
      <w:tblGrid>
        <w:gridCol w:w="1543"/>
        <w:gridCol w:w="1355"/>
        <w:gridCol w:w="1362"/>
        <w:gridCol w:w="563"/>
        <w:gridCol w:w="1857"/>
        <w:gridCol w:w="865"/>
      </w:tblGrid>
      <w:tr>
        <w:trPr/>
        <w:tc>
          <w:tcPr>
            <w:tcW w:w="15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the Six Months Ended June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Short-term borrowings</w:t>
            </w:r>
          </w:p>
        </w:tc>
        <w:tc>
          <w:tcPr>
            <w:tcW w:w="3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Maximum outstanding at any month-end during the period</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61,670 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outstanding at end of period</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outstanding during the period</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45,749 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 during the period</w:t>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 rate at the end of the period</w:t>
            </w:r>
          </w:p>
        </w:tc>
        <w:tc>
          <w:tcPr>
            <w:tcW w:w="2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borrowing facilities include various financial and other covenants, including, but not limited to, a requirement that the Bank maintains regulatory capital that is deemed "well capitalized" by federal banking agencies. As of June 30, 2026 and December 31, 2025, the Company was in compliance with the covenant requirements.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Liquidity and Capital Resources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Liquidity resources primarily include Interest-bearing and Noninterest-bearing deposits which contribute to our ability to raise funds to support asset growth, acquisitions, and meet deposit withdrawals and other payment obligations. Access to purchased funds include the ability to borrow from FHLB, other correspondent banks, and the use of brokered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composition of our funding sources and the average assets in which those funds are invested as a percentage of average total assets during the periods presented:</w:t>
      </w:r>
    </w:p>
    <w:tbl>
      <w:tblPr>
        <w:tblW w:w="10205" w:type="dxa"/>
        <w:jc w:val="left"/>
        <w:tblInd w:w="0" w:type="dxa"/>
        <w:tblLayout w:type="fixed"/>
        <w:tblCellMar>
          <w:top w:w="28" w:type="dxa"/>
          <w:left w:w="28" w:type="dxa"/>
          <w:bottom w:w="28" w:type="dxa"/>
          <w:right w:w="28" w:type="dxa"/>
        </w:tblCellMar>
      </w:tblPr>
      <w:tblGrid>
        <w:gridCol w:w="1683"/>
        <w:gridCol w:w="1365"/>
        <w:gridCol w:w="1375"/>
        <w:gridCol w:w="323"/>
        <w:gridCol w:w="323"/>
        <w:gridCol w:w="448"/>
        <w:gridCol w:w="190"/>
        <w:gridCol w:w="190"/>
        <w:gridCol w:w="190"/>
        <w:gridCol w:w="323"/>
        <w:gridCol w:w="323"/>
        <w:gridCol w:w="448"/>
        <w:gridCol w:w="109"/>
        <w:gridCol w:w="109"/>
        <w:gridCol w:w="109"/>
        <w:gridCol w:w="323"/>
        <w:gridCol w:w="323"/>
        <w:gridCol w:w="406"/>
        <w:gridCol w:w="172"/>
        <w:gridCol w:w="172"/>
        <w:gridCol w:w="172"/>
        <w:gridCol w:w="323"/>
        <w:gridCol w:w="323"/>
        <w:gridCol w:w="483"/>
      </w:tblGrid>
      <w:tr>
        <w:trPr/>
        <w:tc>
          <w:tcPr>
            <w:tcW w:w="168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Sources of Funds: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73.08 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Federal Reserve borrowings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Uses of Funds:</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86.06 </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86.46 </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85.54 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Correspondent bank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financial institutions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noninterest-bearing deposits to total average deposits</w:t>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4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4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4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loans to total average deposits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interest-bearing deposits to total average deposits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85.24 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primary source of funds is Interest-bearing and Noninterest-bearing deposits, and our primary use of funds is loans. We do not expect a change in the primary source or use of our funds in the foreseeable future.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regulatory capital adequacy requirements at a consolidated level and the Bank level. These requirements are administered by federal banking agencies. Failure to meet minimum capital requirements can initiate certain mandatory and possibly additional discretionary actions by regulators that, if undertaken, could have a direct material effect on our condensed consolidated financial statements. Under capital adequacy guidelines and, additionally for banks, the regulatory framework for prompt corrective action, we must meet specific capital guidelines that involve quantitative measures of our assets, liabilities, and certain off-balance sheet items as calculated under regulatory accounting practices.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Capital levels are viewed as important indicators of an institution’s financial soundness by banking regulators. Generally, FDIC-insured depository institutions and their holding companies are required to maintain minimum capital relative to the amount and types of assets they hold. As of June 30, 2026 and December 31, 2025, our holding company and Bank were in compliance with all applicable regulatory capital requirements, and the Bank was classified as "well capitalized," for purposes of the prompt corrective action regulations. As we continue to grow our operations and maintain capital requirements, our regulatory capital levels may decrease depending on our level of earnings. We continue to monitor growth and control our capital activities in order to remain in compliance with all applicable regulatory capital standards.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 and Off-Balance Sheet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enter into credit-related financial instruments with off-balance sheet risk in the normal course of business to meet the financing needs of our clients. These financial instruments include commitments to extend credit. Such commitments involve, to varying degrees, elements of credit and interest rate risk in excess of the amount recognized in the Condensed Consolidated Balance Sheets. Commitments may expire without being utilized. Our exposure to credit loss is represented by the contractual amount of these commitments, although material losses are not anticipated. We follow the same credit policies in making commitments as we do for on-balance sheet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future contractual obligations to make future payments during the periods presented:</w:t>
      </w:r>
    </w:p>
    <w:tbl>
      <w:tblPr>
        <w:tblW w:w="10205" w:type="dxa"/>
        <w:jc w:val="left"/>
        <w:tblInd w:w="0" w:type="dxa"/>
        <w:tblLayout w:type="fixed"/>
        <w:tblCellMar>
          <w:top w:w="28" w:type="dxa"/>
          <w:left w:w="28" w:type="dxa"/>
          <w:bottom w:w="28" w:type="dxa"/>
          <w:right w:w="28" w:type="dxa"/>
        </w:tblCellMar>
      </w:tblPr>
      <w:tblGrid>
        <w:gridCol w:w="746"/>
        <w:gridCol w:w="653"/>
        <w:gridCol w:w="655"/>
        <w:gridCol w:w="196"/>
        <w:gridCol w:w="736"/>
        <w:gridCol w:w="109"/>
        <w:gridCol w:w="109"/>
        <w:gridCol w:w="109"/>
        <w:gridCol w:w="109"/>
        <w:gridCol w:w="383"/>
        <w:gridCol w:w="1265"/>
        <w:gridCol w:w="213"/>
        <w:gridCol w:w="109"/>
        <w:gridCol w:w="109"/>
        <w:gridCol w:w="109"/>
        <w:gridCol w:w="362"/>
        <w:gridCol w:w="1195"/>
        <w:gridCol w:w="200"/>
        <w:gridCol w:w="109"/>
        <w:gridCol w:w="109"/>
        <w:gridCol w:w="109"/>
        <w:gridCol w:w="224"/>
        <w:gridCol w:w="742"/>
        <w:gridCol w:w="124"/>
        <w:gridCol w:w="109"/>
        <w:gridCol w:w="109"/>
        <w:gridCol w:w="109"/>
        <w:gridCol w:w="196"/>
        <w:gridCol w:w="736"/>
        <w:gridCol w:w="162"/>
      </w:tblGrid>
      <w:tr>
        <w:trPr/>
        <w:tc>
          <w:tcPr>
            <w:tcW w:w="7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i/>
                <w:color w:val="000000"/>
                <w:sz w:val="16"/>
              </w:rPr>
            </w:pPr>
            <w:r>
              <w:rPr>
                <w:rFonts w:ascii="Times New Roman;serif" w:hAnsi="Times New Roman;serif"/>
                <w:b/>
                <w:i/>
                <w:color w:val="000000"/>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w:t>
              <w:br/>
              <w:t>1 Year Through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3 Years Through</w:t>
              <w:br/>
              <w:t>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Federal Reserve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Minimum lease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28,178 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19,069 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461,630 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Reflects contractual maturity date of December 1, 2030, although the Company can call the note prior to contractual maturity.</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Reflects contractual maturity dates of September 1, 2031 and December 15, 2032, although the Company can call the notes prior to contractual maturity.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enter into contracts for services in the conduct of ordinary business operations, which may require payment for services to be provided in the future and may contain penalty clauses for early termination of the contracts. We do not believe these off-balance sheet arrangements have or are reasonably likely to have a material effect on our financial condition, revenues or expenses, results of operations, liquidity, capital expenditures, or capital resources. However, there can be no assurance that such arrangements will not have an effect on future operations.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Critical Accounting Policies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accounting policies and procedures are described in Note 1 – Organization and Summary of Significant Accounting Policies in the accompanying Notes to the Condensed Consolidated Financial Statements as well as the Company’s Annual Report on Form 10-K for the year ended December 31, 2025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Sensitivity and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in a financial instrument arising from adverse changes in market prices and rates, foreign currency exchange rates, commodity prices, and equity prices. Our market risk arises primarily from interest rate risk inherent in lending, investing, and deposit taking activities. To that end, management actively monitors and manages interest rate risk exposure. We do not have any market risk sensitive instruments entered into for trading purposes.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uses various asset/liability strategies to manage the re-pricing characteristics of our assets and liabilities designed to ensure that exposure to interest rate fluctuations is limited within established guidelines of acceptable levels of risk-taking.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Board of Directors monitors interest rate risk by analyzing the potential impact on the net economic value of equity and net interest income from potential changes in interest rates and considers the impact of alternative strategies or changes in balance sheet structure. We manage our balance sheet, in part, to maintain the potential impact on economic value of equity and net interest income within acceptable ranges despite changes in interest rates.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risk is reviewed at least quarterly by the Board of Directors. Interest rate risk exposure is measured using interest rate sensitivity analysis to determine the change in net interest income and economic value of equity in the event of hypothetical changes in interest rates. If potential changes to net economic value of equity and net interest income resulting from hypothetical interest rate changes are not within the limits established by our Board of Directors, the Board of Directors may direct management to adjust the asset and liability mix to bring interest rate risk within its approved limits.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sensitivity in net interest income and fair value of equity during the periods presented, using a static balance sheet and parallel shock scenario:</w:t>
      </w:r>
    </w:p>
    <w:tbl>
      <w:tblPr>
        <w:tblW w:w="9542" w:type="dxa"/>
        <w:jc w:val="left"/>
        <w:tblInd w:w="0" w:type="dxa"/>
        <w:tblLayout w:type="fixed"/>
        <w:tblCellMar>
          <w:top w:w="28" w:type="dxa"/>
          <w:left w:w="28" w:type="dxa"/>
          <w:bottom w:w="28" w:type="dxa"/>
          <w:right w:w="28" w:type="dxa"/>
        </w:tblCellMar>
      </w:tblPr>
      <w:tblGrid>
        <w:gridCol w:w="1060"/>
        <w:gridCol w:w="930"/>
        <w:gridCol w:w="934"/>
        <w:gridCol w:w="109"/>
        <w:gridCol w:w="109"/>
        <w:gridCol w:w="109"/>
        <w:gridCol w:w="289"/>
        <w:gridCol w:w="289"/>
        <w:gridCol w:w="681"/>
        <w:gridCol w:w="132"/>
        <w:gridCol w:w="132"/>
        <w:gridCol w:w="132"/>
        <w:gridCol w:w="289"/>
        <w:gridCol w:w="289"/>
        <w:gridCol w:w="681"/>
        <w:gridCol w:w="109"/>
        <w:gridCol w:w="109"/>
        <w:gridCol w:w="109"/>
        <w:gridCol w:w="289"/>
        <w:gridCol w:w="289"/>
        <w:gridCol w:w="681"/>
        <w:gridCol w:w="162"/>
        <w:gridCol w:w="162"/>
        <w:gridCol w:w="162"/>
        <w:gridCol w:w="274"/>
        <w:gridCol w:w="274"/>
        <w:gridCol w:w="757"/>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9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Change in Interest Rates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br/>
              <w:t>in Net Interest</w:t>
              <w:br/>
              <w:t>Income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br/>
              <w:t>in Fair Value of</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br/>
              <w:t>in Net Interest</w:t>
              <w:br/>
              <w:t>Income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br/>
              <w:t>in Fair Value of</w:t>
              <w:br/>
              <w:t>Equity</w:t>
            </w:r>
          </w:p>
        </w:tc>
      </w:tr>
      <w:tr>
        <w:trPr/>
        <w:tc>
          <w:tcPr>
            <w:tcW w:w="29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model simulations as of June 30, 2026 imply that our balance sheet maintains a similar interest rate risk profile compared to our balance sheet as of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Although the simulation model is useful in identifying potential exposure to interest rate changes, actual results for net interest income and economic value of equity may differ. There are a variety of factors that can impact the outcomes such as timing and magnitude of interest rate changes, asset and liability mix, pre-payment speeds, deposit beta assumptions, and decay rates that differ from our projections. Additionally, the results do not account for actions implemented to manage our interest rate risk exposure.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Impact of Inflation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related notes included within this Form 10-Q have been prepared in accordance with GAAP, which requires the measurement of financial position and operating results in terms of historical dollars, without considering changes in the relative value of money over time due to inflation or recession.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assets and liabilities are substantially monetary in nature. Therefore, changes in interest rates can significantly impact our performance beyond the general effects of inflation. Interest rates do not necessarily move in the same direction or magnitude as prices of general goods and services, while other operating expenses can be correlated with the impact of general levels of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report.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such term is defined in Rules 13a-15(f) and 15d-15(f) under the Exchange Act) that occurred during the six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from time to time, is involved in various legal actions arising in the normal course of business. While the ultimate outcome of any such proceedings cannot be predicted with certainty, it is the opinion of management, after consulting with our legal counsel, that no proceedings exist, either individually or in the aggregate, which, if determined adversely to the Company, would have a material effect on the Company’s condensed consolidated financial statements. See Note 8 – Commitments and Contingencies in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risk factors previously disclosed under “Item 1A. Risk Factors” of the Company’s 2025 Annual Report on Form 10-K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120"/>
        <w:jc w:val="left"/>
        <w:rPr>
          <w:rFonts w:ascii="Times New Roman;serif" w:hAnsi="Times New Roman;serif"/>
          <w:b/>
          <w:color w:val="000000"/>
          <w:sz w:val="20"/>
          <w:u w:val="single"/>
        </w:rPr>
      </w:pPr>
      <w:r>
        <w:rPr>
          <w:rFonts w:ascii="Times New Roman;serif" w:hAnsi="Times New Roman;serif"/>
          <w:b/>
          <w:color w:val="000000"/>
          <w:sz w:val="20"/>
          <w:u w:val="single"/>
        </w:rPr>
        <w:t>(c) Issuer Purchases of Equity Securities</w:t>
      </w:r>
    </w:p>
    <w:tbl>
      <w:tblPr>
        <w:tblW w:w="9289" w:type="dxa"/>
        <w:jc w:val="left"/>
        <w:tblInd w:w="0" w:type="dxa"/>
        <w:tblLayout w:type="fixed"/>
        <w:tblCellMar>
          <w:top w:w="28" w:type="dxa"/>
          <w:left w:w="28" w:type="dxa"/>
          <w:bottom w:w="28" w:type="dxa"/>
          <w:right w:w="28" w:type="dxa"/>
        </w:tblCellMar>
      </w:tblPr>
      <w:tblGrid>
        <w:gridCol w:w="1006"/>
        <w:gridCol w:w="882"/>
        <w:gridCol w:w="887"/>
        <w:gridCol w:w="109"/>
        <w:gridCol w:w="109"/>
        <w:gridCol w:w="109"/>
        <w:gridCol w:w="364"/>
        <w:gridCol w:w="364"/>
        <w:gridCol w:w="366"/>
        <w:gridCol w:w="109"/>
        <w:gridCol w:w="109"/>
        <w:gridCol w:w="109"/>
        <w:gridCol w:w="226"/>
        <w:gridCol w:w="470"/>
        <w:gridCol w:w="128"/>
        <w:gridCol w:w="109"/>
        <w:gridCol w:w="109"/>
        <w:gridCol w:w="109"/>
        <w:gridCol w:w="474"/>
        <w:gridCol w:w="474"/>
        <w:gridCol w:w="476"/>
        <w:gridCol w:w="109"/>
        <w:gridCol w:w="109"/>
        <w:gridCol w:w="109"/>
        <w:gridCol w:w="285"/>
        <w:gridCol w:w="1267"/>
        <w:gridCol w:w="158"/>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88" w:before="0" w:after="0"/>
              <w:jc w:val="center"/>
              <w:rPr/>
            </w:pPr>
            <w:r>
              <w:rPr>
                <w:rFonts w:ascii="Times New Roman;serif" w:hAnsi="Times New Roman;serif"/>
                <w:b/>
                <w:color w:val="000000"/>
                <w:sz w:val="16"/>
              </w:rPr>
              <w:t>or programs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 number (or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purchased under the</w:t>
            </w:r>
          </w:p>
          <w:p>
            <w:pPr>
              <w:pStyle w:val="TableContents"/>
              <w:bidi w:val="0"/>
              <w:spacing w:lineRule="auto" w:line="288" w:before="0" w:after="0"/>
              <w:jc w:val="center"/>
              <w:rPr/>
            </w:pPr>
            <w:r>
              <w:rPr>
                <w:rFonts w:ascii="Times New Roman;serif" w:hAnsi="Times New Roman;serif"/>
                <w:b/>
                <w:color w:val="000000"/>
                <w:sz w:val="16"/>
              </w:rPr>
              <w:t>plans or programs</w:t>
            </w:r>
            <w:r>
              <w:rPr>
                <w:rFonts w:ascii="Times New Roman;serif" w:hAnsi="Times New Roman;serif"/>
                <w:b/>
                <w:color w:val="000000"/>
                <w:sz w:val="10"/>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17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shares relate to the net settlement by employees related to vested, restricted stock awards and do not impact the shares available for repurchase. Net settlements represent instances where employees elect to satisfy their income tax liability related to the vesting of restricted stock through the surrender of a proportionate number of the vested shares to the Company.</w:t>
      </w:r>
    </w:p>
    <w:p>
      <w:pPr>
        <w:pStyle w:val="TextBody"/>
        <w:bidi w:val="0"/>
        <w:spacing w:lineRule="auto" w:line="288" w:before="0" w:after="0"/>
        <w:ind w:left="0" w:right="0" w:hanging="17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These shares relate to the 2026 Repurchase Plan. Refer to Note 9 - Shareholders' Equity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11"/>
        <w:gridCol w:w="2611"/>
        <w:gridCol w:w="37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yfw-20260630x10qxexx311.htm">
              <w:r>
                <w:rPr>
                  <w:rStyle w:val="InternetLink"/>
                  <w:rFonts w:ascii="Times New Roman;serif" w:hAnsi="Times New Roman;serif"/>
                  <w:b w:val="false"/>
                  <w:color w:val="0000FF"/>
                  <w:sz w:val="20"/>
                  <w:u w:val="single"/>
                </w:rPr>
                <w:t>Certification of Chief Executive Officer pursuant to Rule 13a-14(a) of the Exchange Act, as adopted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yfw-20260630x10qxexx312.htm">
              <w:r>
                <w:rPr>
                  <w:rStyle w:val="InternetLink"/>
                  <w:rFonts w:ascii="Times New Roman;serif" w:hAnsi="Times New Roman;serif"/>
                  <w:b w:val="false"/>
                  <w:color w:val="0000FF"/>
                  <w:sz w:val="20"/>
                  <w:u w:val="single"/>
                </w:rPr>
                <w:t>Certification of Chief Financial Officer pursuant to Rule 13a-14(a) of the Exchange Act, as adopted pursuant to Section 302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yfw-20260630x10q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yfw-20260630x10q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These exhibits are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Indicates a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20"/>
        <w:jc w:val="left"/>
        <w:rPr/>
      </w:pPr>
      <w:hyperlink w:anchor="i30b4f9df3f7940208f94904ab113893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406"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397"/>
        <w:gridCol w:w="397"/>
        <w:gridCol w:w="397"/>
        <w:gridCol w:w="1929"/>
        <w:gridCol w:w="1929"/>
        <w:gridCol w:w="2801"/>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First Western Financial,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Wylie</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br/>
              <w:t>Chairman, Chief Executive Officer, and President of First Western Financial,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 Weber</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 Weber</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Scott C. Wylie,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Western Financial,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324" w:type="dxa"/>
        <w:jc w:val="left"/>
        <w:tblInd w:w="0" w:type="dxa"/>
        <w:tblLayout w:type="fixed"/>
        <w:tblCellMar>
          <w:top w:w="28" w:type="dxa"/>
          <w:left w:w="28" w:type="dxa"/>
          <w:bottom w:w="28" w:type="dxa"/>
          <w:right w:w="28" w:type="dxa"/>
        </w:tblCellMar>
      </w:tblPr>
      <w:tblGrid>
        <w:gridCol w:w="618"/>
        <w:gridCol w:w="544"/>
        <w:gridCol w:w="547"/>
        <w:gridCol w:w="1936"/>
        <w:gridCol w:w="1936"/>
        <w:gridCol w:w="274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br/>
              <w:t>Chairman, Chief Executive Officer and President of First Western Financial, Inc.</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R. Weber,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Western Financial,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58" w:type="dxa"/>
        <w:jc w:val="left"/>
        <w:tblInd w:w="0" w:type="dxa"/>
        <w:tblLayout w:type="fixed"/>
        <w:tblCellMar>
          <w:top w:w="28" w:type="dxa"/>
          <w:left w:w="28" w:type="dxa"/>
          <w:bottom w:w="28" w:type="dxa"/>
          <w:right w:w="28" w:type="dxa"/>
        </w:tblCellMar>
      </w:tblPr>
      <w:tblGrid>
        <w:gridCol w:w="618"/>
        <w:gridCol w:w="544"/>
        <w:gridCol w:w="547"/>
        <w:gridCol w:w="922"/>
        <w:gridCol w:w="922"/>
        <w:gridCol w:w="130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 Weber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Weber</w:t>
              <w:br/>
              <w:t>Chief Financial Officer and Treasurer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report of First Western Financial, Inc. (the “Company”) on Form 10-Q for the period ended June 30, 2026, as filed with the Securities and Exchange Commission on the date hereof (the “Report”), I, Scott C. Wylie, Chairman, Chief Executive Officer and President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8324" w:type="dxa"/>
        <w:jc w:val="left"/>
        <w:tblInd w:w="0" w:type="dxa"/>
        <w:tblLayout w:type="fixed"/>
        <w:tblCellMar>
          <w:top w:w="28" w:type="dxa"/>
          <w:left w:w="28" w:type="dxa"/>
          <w:bottom w:w="28" w:type="dxa"/>
          <w:right w:w="28" w:type="dxa"/>
        </w:tblCellMar>
      </w:tblPr>
      <w:tblGrid>
        <w:gridCol w:w="618"/>
        <w:gridCol w:w="544"/>
        <w:gridCol w:w="547"/>
        <w:gridCol w:w="1936"/>
        <w:gridCol w:w="1936"/>
        <w:gridCol w:w="274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WESTERN FINANCIAL,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br/>
              <w:t>Chairman, Chief Executive Officer and President of First Western Financial,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report of First Western Financial, Inc. (the “Company”) on Form 10-Q for the period ended June 30, 2026, as filed with the Securities and Exchange Commission on the date hereof (the “Report”), I, David R. Weber, Chief Financial Officer and Treasurer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73" w:type="dxa"/>
        <w:jc w:val="left"/>
        <w:tblInd w:w="0" w:type="dxa"/>
        <w:tblLayout w:type="fixed"/>
        <w:tblCellMar>
          <w:top w:w="28" w:type="dxa"/>
          <w:left w:w="28" w:type="dxa"/>
          <w:bottom w:w="28" w:type="dxa"/>
          <w:right w:w="28" w:type="dxa"/>
        </w:tblCellMar>
      </w:tblPr>
      <w:tblGrid>
        <w:gridCol w:w="618"/>
        <w:gridCol w:w="544"/>
        <w:gridCol w:w="547"/>
        <w:gridCol w:w="926"/>
        <w:gridCol w:w="926"/>
        <w:gridCol w:w="131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WESTERN FINANCIAL,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 Weber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Weber</w:t>
              <w:br/>
              <w:t>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39702</Words>
  <Characters>216668</Characters>
  <CharactersWithSpaces>252692</CharactersWithSpaces>
  <Paragraphs>8743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