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200" w:after="283"/>
        <w:jc w:val="center"/>
        <w:rPr>
          <w:rFonts w:ascii="Times New Roman;serif" w:hAnsi="Times New Roman;serif"/>
          <w:b/>
          <w:color w:val="000000"/>
          <w:sz w:val="24"/>
        </w:rPr>
      </w:pPr>
      <w:r>
        <w:rPr>
          <w:rFonts w:ascii="Times New Roman;serif" w:hAnsi="Times New Roman;serif"/>
          <w:b/>
          <w:color w:val="000000"/>
          <w:sz w:val="24"/>
        </w:rPr>
        <w:t>FORM 8-K</w:t>
      </w:r>
    </w:p>
    <w:p>
      <w:pPr>
        <w:pStyle w:val="TextBody"/>
        <w:bidi w:val="0"/>
        <w:spacing w:lineRule="auto" w:line="288" w:before="200" w:after="283"/>
        <w:jc w:val="center"/>
        <w:rPr>
          <w:rFonts w:ascii="Times New Roman;serif" w:hAnsi="Times New Roman;serif"/>
          <w:b w:val="false"/>
          <w:color w:val="000000"/>
          <w:sz w:val="24"/>
        </w:rPr>
      </w:pPr>
      <w:r>
        <w:rPr>
          <w:rFonts w:ascii="Times New Roman;serif" w:hAnsi="Times New Roman;serif"/>
          <w:b w:val="false"/>
          <w:color w:val="000000"/>
          <w:sz w:val="24"/>
        </w:rPr>
        <w:t>CURRENT REPORT</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Pursuant to Section 13 or 15(d) of The Securities Exchange Act of 1934</w:t>
      </w:r>
    </w:p>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 October 22, 2026</w:t>
      </w:r>
    </w:p>
    <w:p>
      <w:pPr>
        <w:pStyle w:val="TextBody"/>
        <w:bidi w:val="0"/>
        <w:spacing w:lineRule="auto" w:line="288" w:before="200" w:after="283"/>
        <w:jc w:val="center"/>
        <w:rPr>
          <w:rFonts w:ascii="Times New Roman;serif" w:hAnsi="Times New Roman;serif"/>
          <w:b/>
          <w:color w:val="000000"/>
          <w:sz w:val="24"/>
        </w:rPr>
      </w:pPr>
      <w:r>
        <w:rPr>
          <w:rFonts w:ascii="Times New Roman;serif" w:hAnsi="Times New Roman;serif"/>
          <w:b/>
          <w:color w:val="000000"/>
          <w:sz w:val="24"/>
        </w:rPr>
        <w:t>FIRST WESTERN FINANCIAL, INC.</w:t>
      </w:r>
    </w:p>
    <w:p>
      <w:pPr>
        <w:pStyle w:val="TextBody"/>
        <w:bidi w:val="0"/>
        <w:spacing w:lineRule="auto" w:line="288" w:before="200" w:after="283"/>
        <w:jc w:val="center"/>
        <w:rPr>
          <w:rFonts w:ascii="Times New Roman;serif" w:hAnsi="Times New Roman;serif"/>
          <w:b w:val="false"/>
          <w:color w:val="000000"/>
          <w:sz w:val="24"/>
        </w:rPr>
      </w:pPr>
      <w:r>
        <w:rPr>
          <w:rFonts w:ascii="Times New Roman;serif" w:hAnsi="Times New Roman;serif"/>
          <w:b w:val="false"/>
          <w:color w:val="000000"/>
          <w:sz w:val="24"/>
        </w:rPr>
        <w:t>(Exact name of registrant as specified in its charter)</w:t>
      </w:r>
    </w:p>
    <w:tbl>
      <w:tblPr>
        <w:tblW w:w="6134" w:type="dxa"/>
        <w:jc w:val="left"/>
        <w:tblInd w:w="0" w:type="dxa"/>
        <w:tblLayout w:type="fixed"/>
        <w:tblCellMar>
          <w:top w:w="28" w:type="dxa"/>
          <w:left w:w="28" w:type="dxa"/>
          <w:bottom w:w="28" w:type="dxa"/>
          <w:right w:w="28" w:type="dxa"/>
        </w:tblCellMar>
      </w:tblPr>
      <w:tblGrid>
        <w:gridCol w:w="1193"/>
        <w:gridCol w:w="1047"/>
        <w:gridCol w:w="1059"/>
        <w:gridCol w:w="394"/>
        <w:gridCol w:w="394"/>
        <w:gridCol w:w="398"/>
        <w:gridCol w:w="481"/>
        <w:gridCol w:w="481"/>
        <w:gridCol w:w="687"/>
      </w:tblGrid>
      <w:tr>
        <w:trPr/>
        <w:tc>
          <w:tcPr>
            <w:tcW w:w="1193"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Colorado</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001-38595</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37-1442266</w:t>
            </w:r>
          </w:p>
        </w:tc>
      </w:tr>
      <w:tr>
        <w:trPr/>
        <w:tc>
          <w:tcPr>
            <w:tcW w:w="32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br/>
              <w:t>incorporation or organization)</w:t>
            </w:r>
          </w:p>
        </w:tc>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w:t>
              <w:br/>
              <w:t>File Number)</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Identification No.)</w:t>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1900 16th Street, Suite 1200</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Denver, Colorado</w:t>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80202</w:t>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200" w:after="283"/>
        <w:jc w:val="center"/>
        <w:rPr/>
      </w:pPr>
      <w:r>
        <w:rPr>
          <w:rFonts w:ascii="Times New Roman;serif" w:hAnsi="Times New Roman;serif"/>
          <w:b w:val="false"/>
          <w:color w:val="000000"/>
          <w:sz w:val="20"/>
        </w:rPr>
        <w:t>Registrant’s telephone number, including area code: </w:t>
      </w:r>
      <w:r>
        <w:rPr>
          <w:rFonts w:ascii="Times New Roman;serif" w:hAnsi="Times New Roman;serif"/>
          <w:b/>
          <w:color w:val="000000"/>
          <w:sz w:val="20"/>
        </w:rPr>
        <w:t>303.531.8100</w:t>
      </w:r>
    </w:p>
    <w:p>
      <w:pPr>
        <w:pStyle w:val="TextBody"/>
        <w:bidi w:val="0"/>
        <w:spacing w:lineRule="auto" w:line="288" w:before="200" w:after="283"/>
        <w:jc w:val="center"/>
        <w:rPr/>
      </w:pPr>
      <w:r>
        <w:rPr>
          <w:rFonts w:ascii="Times New Roman;serif" w:hAnsi="Times New Roman;serif"/>
          <w:b w:val="false"/>
          <w:color w:val="000000"/>
          <w:sz w:val="20"/>
        </w:rPr>
        <w:t xml:space="preserve">Former name or former address, if changed since last report: </w:t>
      </w:r>
      <w:r>
        <w:rPr>
          <w:rFonts w:ascii="Times New Roman;serif" w:hAnsi="Times New Roman;serif"/>
          <w:b/>
          <w:color w:val="000000"/>
          <w:sz w:val="20"/>
        </w:rPr>
        <w:t>Not Applicable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933"/>
        <w:gridCol w:w="2867"/>
        <w:gridCol w:w="40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3" w:type="dxa"/>
            <w:tcBorders/>
            <w:vAlign w:val="center"/>
          </w:tcPr>
          <w:p>
            <w:pPr>
              <w:pStyle w:val="TableContents"/>
              <w:bidi w:val="0"/>
              <w:spacing w:before="0" w:after="283"/>
              <w:jc w:val="left"/>
              <w:rPr>
                <w:sz w:val="4"/>
                <w:szCs w:val="4"/>
              </w:rPr>
            </w:pPr>
            <w:r>
              <w:rPr>
                <w:sz w:val="4"/>
                <w:szCs w:val="4"/>
              </w:rPr>
            </w:r>
          </w:p>
        </w:tc>
        <w:tc>
          <w:tcPr>
            <w:tcW w:w="2867" w:type="dxa"/>
            <w:tcBorders/>
            <w:vAlign w:val="center"/>
          </w:tcPr>
          <w:p>
            <w:pPr>
              <w:pStyle w:val="TableContents"/>
              <w:bidi w:val="0"/>
              <w:spacing w:before="0" w:after="283"/>
              <w:jc w:val="left"/>
              <w:rPr>
                <w:sz w:val="4"/>
                <w:szCs w:val="4"/>
              </w:rPr>
            </w:pPr>
            <w:r>
              <w:rPr>
                <w:sz w:val="4"/>
                <w:szCs w:val="4"/>
              </w:rPr>
            </w:r>
          </w:p>
        </w:tc>
        <w:tc>
          <w:tcPr>
            <w:tcW w:w="40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tc>
      </w:tr>
    </w:tbl>
    <w:p>
      <w:pPr>
        <w:pStyle w:val="TextBody"/>
        <w:bidi w:val="0"/>
        <w:spacing w:lineRule="auto" w:line="288" w:before="200" w:after="283"/>
        <w:jc w:val="center"/>
        <w:rPr>
          <w:rFonts w:ascii="Times New Roman;serif" w:hAnsi="Times New Roman;serif"/>
          <w:b/>
          <w:color w:val="000000"/>
          <w:sz w:val="16"/>
        </w:rPr>
      </w:pPr>
      <w:r>
        <w:rPr>
          <w:rFonts w:ascii="Times New Roman;serif" w:hAnsi="Times New Roman;serif"/>
          <w:b/>
          <w:color w:val="000000"/>
          <w:sz w:val="16"/>
        </w:rPr>
        <w:t>Securities registered pursuant to Section 12(b) of the Act:</w:t>
      </w:r>
    </w:p>
    <w:tbl>
      <w:tblPr>
        <w:tblW w:w="6748" w:type="dxa"/>
        <w:jc w:val="left"/>
        <w:tblInd w:w="0" w:type="dxa"/>
        <w:tblLayout w:type="fixed"/>
        <w:tblCellMar>
          <w:top w:w="28" w:type="dxa"/>
          <w:left w:w="28" w:type="dxa"/>
          <w:bottom w:w="28" w:type="dxa"/>
          <w:right w:w="28" w:type="dxa"/>
        </w:tblCellMar>
      </w:tblPr>
      <w:tblGrid>
        <w:gridCol w:w="781"/>
        <w:gridCol w:w="685"/>
        <w:gridCol w:w="694"/>
        <w:gridCol w:w="424"/>
        <w:gridCol w:w="424"/>
        <w:gridCol w:w="426"/>
        <w:gridCol w:w="970"/>
        <w:gridCol w:w="970"/>
        <w:gridCol w:w="1374"/>
      </w:tblGrid>
      <w:tr>
        <w:trPr/>
        <w:tc>
          <w:tcPr>
            <w:tcW w:w="781"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no par value</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MYFW</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NASDAQ Stock Market LLC</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On October 22, 2026, First Western Financial, Inc. (the “Company”) issued a press release announcing its financial results for the third quarter ended September 30, 2026. A copy of the press release is furnished as Exhibit 99.1 and is incorporated by reference herein.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information in this Item 2.02, including Exhibit 99.1, is being furnished pursuant to Item 2.02 of Form 8-K and shall not be deemed “filed” for purposes of Section 18 of the Securities Exchange Act of 1934, as amended (the “Exchange Act”), or otherwise subject to liabilities of that section, nor shall it be deemed incorporated by reference into any filing under the Securities Act of 1933, as amended (the “Securities Act”), or the Exchange Act, unless specifically identified therein as being incorporated therein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uto" w:line="288" w:before="200" w:after="283"/>
        <w:jc w:val="left"/>
        <w:rPr/>
      </w:pPr>
      <w:r>
        <w:rPr>
          <w:rFonts w:ascii="Times New Roman;serif" w:hAnsi="Times New Roman;serif"/>
          <w:b w:val="false"/>
          <w:color w:val="000000"/>
          <w:sz w:val="20"/>
        </w:rPr>
        <w:t>The Company intends to hold an investor call and webcast to discuss its financial results for the third quarter ended September 30, 2026</w:t>
      </w:r>
      <w:r>
        <w:rPr>
          <w:color w:val="000000"/>
        </w:rPr>
        <w:t xml:space="preserve"> </w:t>
      </w:r>
      <w:r>
        <w:rPr>
          <w:rFonts w:ascii="Times New Roman;serif" w:hAnsi="Times New Roman;serif"/>
          <w:b w:val="false"/>
          <w:color w:val="000000"/>
          <w:sz w:val="20"/>
        </w:rPr>
        <w:t>on Friday, October 23, 2026, at 10:00 a.m. Mountain Time. The Company’s presentation to analysts and investors contains additional information about the Company’s financial results for the third quarter ended September 30, 2026 and is furnished as Exhibit 99.2 and is incorporated by reference herein.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information in this Item 7.01, including Exhibit 99.2, is being furnished pursuant to Item 7.01 of Form 8-K and shall not be deemed “filed” for purposes of Section 18 of the Exchange Act, or otherwise subject to liabilities of that section, nor shall it be deemed incorporated by reference into any filing under the Securities Act or the Exchange Act, unless specifically identified therein as being incorporated therein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9718" w:type="dxa"/>
        <w:jc w:val="left"/>
        <w:tblInd w:w="0" w:type="dxa"/>
        <w:tblLayout w:type="fixed"/>
        <w:tblCellMar>
          <w:top w:w="28" w:type="dxa"/>
          <w:left w:w="28" w:type="dxa"/>
          <w:bottom w:w="28" w:type="dxa"/>
          <w:right w:w="28" w:type="dxa"/>
        </w:tblCellMar>
      </w:tblPr>
      <w:tblGrid>
        <w:gridCol w:w="250"/>
        <w:gridCol w:w="220"/>
        <w:gridCol w:w="221"/>
        <w:gridCol w:w="109"/>
        <w:gridCol w:w="109"/>
        <w:gridCol w:w="109"/>
        <w:gridCol w:w="2544"/>
        <w:gridCol w:w="2544"/>
        <w:gridCol w:w="3612"/>
      </w:tblGrid>
      <w:tr>
        <w:trPr/>
        <w:tc>
          <w:tcPr>
            <w:tcW w:w="25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4" w:type="dxa"/>
            <w:tcBorders/>
            <w:vAlign w:val="center"/>
          </w:tcPr>
          <w:p>
            <w:pPr>
              <w:pStyle w:val="TableContents"/>
              <w:bidi w:val="0"/>
              <w:spacing w:before="0" w:after="283"/>
              <w:jc w:val="left"/>
              <w:rPr>
                <w:sz w:val="4"/>
                <w:szCs w:val="4"/>
              </w:rPr>
            </w:pPr>
            <w:r>
              <w:rPr>
                <w:sz w:val="4"/>
                <w:szCs w:val="4"/>
              </w:rPr>
            </w:r>
          </w:p>
        </w:tc>
        <w:tc>
          <w:tcPr>
            <w:tcW w:w="2544" w:type="dxa"/>
            <w:tcBorders/>
            <w:vAlign w:val="center"/>
          </w:tcPr>
          <w:p>
            <w:pPr>
              <w:pStyle w:val="TableContents"/>
              <w:bidi w:val="0"/>
              <w:spacing w:before="0" w:after="283"/>
              <w:jc w:val="left"/>
              <w:rPr>
                <w:sz w:val="4"/>
                <w:szCs w:val="4"/>
              </w:rPr>
            </w:pPr>
            <w:r>
              <w:rPr>
                <w:sz w:val="4"/>
                <w:szCs w:val="4"/>
              </w:rPr>
            </w:r>
          </w:p>
        </w:tc>
        <w:tc>
          <w:tcPr>
            <w:tcW w:w="3612"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Description</w:t>
            </w:r>
          </w:p>
        </w:tc>
      </w:tr>
      <w:tr>
        <w:trPr/>
        <w:tc>
          <w:tcPr>
            <w:tcW w:w="6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myfw-20260930xexx991.htm">
              <w:r>
                <w:rPr>
                  <w:rStyle w:val="InternetLink"/>
                  <w:rFonts w:ascii="Times New Roman;serif" w:hAnsi="Times New Roman;serif"/>
                  <w:b w:val="false"/>
                  <w:color w:val="0000FF"/>
                  <w:sz w:val="20"/>
                  <w:u w:val="single"/>
                </w:rPr>
                <w:t>Press Release issued by First Western Financial, Inc. dated October 22, 2026</w:t>
              </w:r>
            </w:hyperlink>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myfw-20261022xex992a02.htm">
              <w:r>
                <w:rPr>
                  <w:rStyle w:val="InternetLink"/>
                  <w:rFonts w:ascii="Times New Roman;serif" w:hAnsi="Times New Roman;serif"/>
                  <w:b w:val="false"/>
                  <w:color w:val="0000FF"/>
                  <w:sz w:val="20"/>
                  <w:u w:val="single"/>
                </w:rPr>
                <w:t>First Western Financial, Inc. Earnings Presentation</w:t>
              </w:r>
            </w:hyperlink>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(the cover page XBRL tags are embedded 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6430" w:type="dxa"/>
        <w:jc w:val="left"/>
        <w:tblInd w:w="0" w:type="dxa"/>
        <w:tblLayout w:type="fixed"/>
        <w:tblCellMar>
          <w:top w:w="28" w:type="dxa"/>
          <w:left w:w="28" w:type="dxa"/>
          <w:bottom w:w="28" w:type="dxa"/>
          <w:right w:w="28" w:type="dxa"/>
        </w:tblCellMar>
      </w:tblPr>
      <w:tblGrid>
        <w:gridCol w:w="726"/>
        <w:gridCol w:w="640"/>
        <w:gridCol w:w="643"/>
        <w:gridCol w:w="109"/>
        <w:gridCol w:w="109"/>
        <w:gridCol w:w="109"/>
        <w:gridCol w:w="1197"/>
        <w:gridCol w:w="1197"/>
        <w:gridCol w:w="1700"/>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FIRST WESTERN FINANCIAL, INC.</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Date: October 22,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/s/ Scott C. Wylie</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Scott C. Wylie</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Chief Executive Officer and President</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r>
    </w:p>
    <w:p>
      <w:pPr>
        <w:pStyle w:val="TextBody"/>
        <w:bidi w:val="0"/>
        <w:spacing w:lineRule="auto" w:line="288" w:before="240" w:after="283"/>
        <w:jc w:val="right"/>
        <w:rPr>
          <w:rFonts w:ascii="Times New Roman;serif" w:hAnsi="Times New Roman;serif"/>
          <w:b/>
          <w:color w:val="000000"/>
          <w:sz w:val="20"/>
        </w:rPr>
      </w:pPr>
      <w:bookmarkStart w:id="0" w:name="i59d7143e2685491c8ca763000d6a7d8b_12419"/>
      <w:bookmarkEnd w:id="0"/>
      <w:r>
        <w:rPr>
          <w:rFonts w:ascii="Times New Roman;serif" w:hAnsi="Times New Roman;serif"/>
          <w:b/>
          <w:color w:val="000000"/>
          <w:sz w:val="20"/>
        </w:rPr>
        <w:t>Exhibit 99.1</w:t>
      </w:r>
    </w:p>
    <w:p>
      <w:pPr>
        <w:pStyle w:val="TextBody"/>
        <w:bidi w:val="0"/>
        <w:spacing w:before="240" w:after="283"/>
        <w:jc w:val="left"/>
        <w:rPr/>
      </w:pPr>
      <w:r>
        <w:rPr/>
        <w:drawing>
          <wp:inline distT="0" distB="0" distL="0" distR="0">
            <wp:extent cx="1600200" cy="8001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600200" cy="800100"/>
                    </a:xfrm>
                    <a:prstGeom prst="rect">
                      <a:avLst/>
                    </a:prstGeom>
                  </pic:spPr>
                </pic:pic>
              </a:graphicData>
            </a:graphic>
          </wp:inline>
        </w:drawing>
      </w:r>
    </w:p>
    <w:p>
      <w:pPr>
        <w:pStyle w:val="TextBody"/>
        <w:bidi w:val="0"/>
        <w:spacing w:lineRule="auto" w:line="288" w:before="240" w:after="283"/>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First Western Reports Third Quarter 2026 Financial Results</w:t>
      </w:r>
    </w:p>
    <w:p>
      <w:pPr>
        <w:pStyle w:val="TextBody"/>
        <w:bidi w:val="0"/>
        <w:spacing w:lineRule="auto" w:line="288" w:before="240" w:after="283"/>
        <w:jc w:val="left"/>
        <w:rPr>
          <w:rFonts w:ascii="Times New Roman;serif" w:hAnsi="Times New Roman;serif"/>
          <w:b/>
          <w:color w:val="000000"/>
          <w:sz w:val="22"/>
          <w:u w:val="single"/>
        </w:rPr>
      </w:pPr>
      <w:r>
        <w:rPr>
          <w:rFonts w:ascii="Times New Roman;serif" w:hAnsi="Times New Roman;serif"/>
          <w:b/>
          <w:color w:val="000000"/>
          <w:sz w:val="22"/>
          <w:u w:val="single"/>
        </w:rPr>
        <w:t>Third Quarter 2026 Summary</w:t>
      </w:r>
    </w:p>
    <w:p>
      <w:pPr>
        <w:pStyle w:val="TextBody"/>
        <w:bidi w:val="0"/>
        <w:spacing w:lineRule="auto" w:line="288" w:before="180" w:after="283"/>
        <w:ind w:left="0" w:right="0" w:hanging="360"/>
        <w:jc w:val="both"/>
        <w:rPr/>
      </w:pPr>
      <w:r>
        <w:rPr>
          <w:color w:val="000000"/>
        </w:rPr>
        <w:t>•</w:t>
      </w:r>
      <w:r>
        <w:rPr>
          <w:rFonts w:ascii="Times New Roman;serif" w:hAnsi="Times New Roman;serif"/>
          <w:b/>
          <w:color w:val="000000"/>
          <w:sz w:val="22"/>
        </w:rPr>
        <w:t>Net income available to common shareholders of $6.0 million, or $0.60 per diluted share, in Q3 2026, compared to $5.7 million, or $0.57 per diluted share,</w:t>
      </w:r>
      <w:r>
        <w:rPr>
          <w:color w:val="000000"/>
        </w:rPr>
        <w:t xml:space="preserve"> </w:t>
      </w:r>
      <w:r>
        <w:rPr>
          <w:rFonts w:ascii="Times New Roman;serif" w:hAnsi="Times New Roman;serif"/>
          <w:b/>
          <w:color w:val="000000"/>
          <w:sz w:val="22"/>
        </w:rPr>
        <w:t>in Q2 2026</w:t>
      </w:r>
    </w:p>
    <w:p>
      <w:pPr>
        <w:pStyle w:val="TextBody"/>
        <w:bidi w:val="0"/>
        <w:spacing w:lineRule="auto" w:line="288" w:before="180" w:after="283"/>
        <w:ind w:left="0" w:right="0" w:hanging="360"/>
        <w:jc w:val="both"/>
        <w:rPr/>
      </w:pPr>
      <w:r>
        <w:rPr>
          <w:color w:val="000000"/>
        </w:rPr>
        <w:t>•</w:t>
      </w:r>
      <w:r>
        <w:rPr>
          <w:rFonts w:ascii="Times New Roman;serif" w:hAnsi="Times New Roman;serif"/>
          <w:b/>
          <w:color w:val="000000"/>
          <w:sz w:val="22"/>
        </w:rPr>
        <w:t>Pre-tax, pre-provision net income increased 14.5%</w:t>
      </w:r>
      <w:r>
        <w:rPr>
          <w:color w:val="000000"/>
        </w:rPr>
        <w:t xml:space="preserve"> </w:t>
      </w:r>
      <w:r>
        <w:rPr>
          <w:rFonts w:ascii="Times New Roman;serif" w:hAnsi="Times New Roman;serif"/>
          <w:b/>
          <w:color w:val="000000"/>
          <w:sz w:val="22"/>
        </w:rPr>
        <w:t>from $6.9 million</w:t>
      </w:r>
      <w:r>
        <w:rPr>
          <w:color w:val="000000"/>
        </w:rPr>
        <w:t xml:space="preserve"> </w:t>
      </w:r>
      <w:r>
        <w:rPr>
          <w:rFonts w:ascii="Times New Roman;serif" w:hAnsi="Times New Roman;serif"/>
          <w:b/>
          <w:color w:val="000000"/>
          <w:sz w:val="22"/>
        </w:rPr>
        <w:t>in</w:t>
      </w:r>
      <w:r>
        <w:rPr>
          <w:color w:val="000000"/>
        </w:rPr>
        <w:t xml:space="preserve"> </w:t>
      </w:r>
      <w:r>
        <w:rPr>
          <w:rFonts w:ascii="Times New Roman;serif" w:hAnsi="Times New Roman;serif"/>
          <w:b/>
          <w:color w:val="000000"/>
          <w:sz w:val="22"/>
        </w:rPr>
        <w:t xml:space="preserve">Q2 2026 to $7.9 million in Q3 2026 </w:t>
      </w:r>
    </w:p>
    <w:p>
      <w:pPr>
        <w:pStyle w:val="TextBody"/>
        <w:bidi w:val="0"/>
        <w:spacing w:lineRule="auto" w:line="288" w:before="180" w:after="283"/>
        <w:ind w:left="0" w:right="0" w:hanging="360"/>
        <w:jc w:val="both"/>
        <w:rPr/>
      </w:pPr>
      <w:r>
        <w:rPr>
          <w:color w:val="000000"/>
        </w:rPr>
        <w:t>•</w:t>
      </w:r>
      <w:r>
        <w:rPr>
          <w:rFonts w:ascii="Times New Roman;serif" w:hAnsi="Times New Roman;serif"/>
          <w:b/>
          <w:color w:val="000000"/>
          <w:sz w:val="22"/>
        </w:rPr>
        <w:t>Net interest margin increased 5 basis points from 2.90% in Q2 2026 to 2.95% in Q3 2026</w:t>
      </w:r>
    </w:p>
    <w:p>
      <w:pPr>
        <w:pStyle w:val="TextBody"/>
        <w:bidi w:val="0"/>
        <w:spacing w:lineRule="auto" w:line="288" w:before="180" w:after="283"/>
        <w:ind w:left="0" w:right="0" w:hanging="360"/>
        <w:jc w:val="both"/>
        <w:rPr/>
      </w:pPr>
      <w:r>
        <w:rPr>
          <w:color w:val="000000"/>
        </w:rPr>
        <w:t>•</w:t>
      </w:r>
      <w:r>
        <w:rPr>
          <w:rFonts w:ascii="Times New Roman;serif" w:hAnsi="Times New Roman;serif"/>
          <w:b/>
          <w:color w:val="000000"/>
          <w:sz w:val="22"/>
        </w:rPr>
        <w:t>Net interest income increased $1.2 million, or 5.5%, from $21.8 million in Q2 2026 to $23.0 million in Q3 2026</w:t>
      </w:r>
    </w:p>
    <w:p>
      <w:pPr>
        <w:pStyle w:val="TextBody"/>
        <w:bidi w:val="0"/>
        <w:spacing w:lineRule="auto" w:line="288" w:before="180" w:after="283"/>
        <w:ind w:left="0" w:right="0" w:hanging="360"/>
        <w:jc w:val="both"/>
        <w:rPr/>
      </w:pPr>
      <w:r>
        <w:rPr>
          <w:color w:val="000000"/>
        </w:rPr>
        <w:t>•</w:t>
      </w:r>
      <w:r>
        <w:rPr>
          <w:rFonts w:ascii="Times New Roman;serif" w:hAnsi="Times New Roman;serif"/>
          <w:b/>
          <w:color w:val="000000"/>
          <w:sz w:val="22"/>
        </w:rPr>
        <w:t>Total loans held for investment increased $95.0 million, or 3.5%, from $2.72 billion in Q2 2026 to $2.81 billion in Q3 2026</w:t>
      </w:r>
    </w:p>
    <w:p>
      <w:pPr>
        <w:pStyle w:val="TextBody"/>
        <w:bidi w:val="0"/>
        <w:spacing w:lineRule="auto" w:line="288" w:before="180" w:after="283"/>
        <w:ind w:left="0" w:right="0" w:hanging="360"/>
        <w:jc w:val="both"/>
        <w:rPr/>
      </w:pPr>
      <w:r>
        <w:rPr>
          <w:color w:val="000000"/>
        </w:rPr>
        <w:t>•</w:t>
      </w:r>
      <w:r>
        <w:rPr>
          <w:rFonts w:ascii="Times New Roman;serif" w:hAnsi="Times New Roman;serif"/>
          <w:b/>
          <w:color w:val="000000"/>
          <w:sz w:val="22"/>
        </w:rPr>
        <w:t>Total deposits increased $70.0 million, or 2.5%, from $2.85 billion in Q2 2026 to $2.92 billion in Q3 2026</w:t>
      </w:r>
    </w:p>
    <w:p>
      <w:pPr>
        <w:pStyle w:val="TextBody"/>
        <w:bidi w:val="0"/>
        <w:spacing w:before="180" w:after="283"/>
        <w:jc w:val="both"/>
        <w:rPr/>
      </w:pPr>
      <w:r>
        <w:rPr/>
      </w:r>
    </w:p>
    <w:p>
      <w:pPr>
        <w:pStyle w:val="TextBody"/>
        <w:bidi w:val="0"/>
        <w:spacing w:lineRule="auto" w:line="288" w:before="0" w:after="180"/>
        <w:jc w:val="both"/>
        <w:rPr/>
      </w:pPr>
      <w:r>
        <w:rPr>
          <w:rFonts w:ascii="Times New Roman;serif" w:hAnsi="Times New Roman;serif"/>
          <w:b/>
          <w:color w:val="000000"/>
          <w:sz w:val="22"/>
          <w:shd w:fill="FFFFFF" w:val="clear"/>
        </w:rPr>
        <w:t>Denver, Colo</w:t>
      </w:r>
      <w:r>
        <w:rPr>
          <w:rFonts w:ascii="Times New Roman;serif" w:hAnsi="Times New Roman;serif"/>
          <w:b/>
          <w:color w:val="000000"/>
          <w:sz w:val="22"/>
        </w:rPr>
        <w:t xml:space="preserve">., October 22, 2026 </w:t>
      </w:r>
      <w:r>
        <w:rPr>
          <w:color w:val="000000"/>
        </w:rPr>
        <w:t xml:space="preserve">– </w:t>
      </w:r>
      <w:r>
        <w:rPr>
          <w:rFonts w:ascii="Times New Roman;serif" w:hAnsi="Times New Roman;serif"/>
          <w:b w:val="false"/>
          <w:color w:val="000000"/>
          <w:sz w:val="22"/>
        </w:rPr>
        <w:t>F</w:t>
      </w:r>
      <w:r>
        <w:rPr>
          <w:rFonts w:ascii="Times New Roman;serif" w:hAnsi="Times New Roman;serif"/>
          <w:b w:val="false"/>
          <w:color w:val="000000"/>
          <w:sz w:val="22"/>
          <w:shd w:fill="FFFFFF" w:val="clear"/>
        </w:rPr>
        <w:t>irst Western Financial, Inc. (“First Western” or the “Company”) (NASDAQ: MYFW), today reported financial results for the third quarter ended September 30, 2026.</w:t>
      </w:r>
    </w:p>
    <w:p>
      <w:pPr>
        <w:pStyle w:val="TextBody"/>
        <w:bidi w:val="0"/>
        <w:spacing w:lineRule="auto" w:line="288" w:before="0" w:after="180"/>
        <w:jc w:val="both"/>
        <w:rPr/>
      </w:pPr>
      <w:r>
        <w:rPr>
          <w:rFonts w:ascii="Times New Roman;serif" w:hAnsi="Times New Roman;serif"/>
          <w:b w:val="false"/>
          <w:color w:val="000000"/>
          <w:sz w:val="22"/>
          <w:shd w:fill="FFFFFF" w:val="clear"/>
        </w:rPr>
        <w:t>Net income available to common shareholders wa</w:t>
      </w:r>
      <w:r>
        <w:rPr>
          <w:rFonts w:ascii="Times New Roman;serif" w:hAnsi="Times New Roman;serif"/>
          <w:b w:val="false"/>
          <w:color w:val="000000"/>
          <w:sz w:val="22"/>
        </w:rPr>
        <w:t>s $6.0 million, or $0.60 per dil</w:t>
      </w:r>
      <w:r>
        <w:rPr>
          <w:rFonts w:ascii="Times New Roman;serif" w:hAnsi="Times New Roman;serif"/>
          <w:b w:val="false"/>
          <w:color w:val="000000"/>
          <w:sz w:val="22"/>
          <w:shd w:fill="FFFFFF" w:val="clear"/>
        </w:rPr>
        <w:t>uted share, for the third quarter of</w:t>
      </w:r>
      <w:r>
        <w:rPr>
          <w:color w:val="000000"/>
          <w:shd w:fill="FFFFFF" w:val="clear"/>
        </w:rPr>
        <w:t xml:space="preserve"> </w:t>
      </w:r>
      <w:r>
        <w:rPr>
          <w:rFonts w:ascii="Times New Roman;serif" w:hAnsi="Times New Roman;serif"/>
          <w:b w:val="false"/>
          <w:color w:val="000000"/>
          <w:sz w:val="22"/>
          <w:shd w:fill="FFFFFF" w:val="clear"/>
        </w:rPr>
        <w:t>2026. This compares to net income o</w:t>
      </w:r>
      <w:r>
        <w:rPr>
          <w:rFonts w:ascii="Times New Roman;serif" w:hAnsi="Times New Roman;serif"/>
          <w:b w:val="false"/>
          <w:color w:val="000000"/>
          <w:sz w:val="22"/>
        </w:rPr>
        <w:t>f $5.7 million, or $0.57 per dilut</w:t>
      </w:r>
      <w:r>
        <w:rPr>
          <w:rFonts w:ascii="Times New Roman;serif" w:hAnsi="Times New Roman;serif"/>
          <w:b w:val="false"/>
          <w:color w:val="000000"/>
          <w:sz w:val="22"/>
          <w:shd w:fill="FFFFFF" w:val="clear"/>
        </w:rPr>
        <w:t>ed share, for the second</w:t>
      </w:r>
      <w:r>
        <w:rPr>
          <w:color w:val="000000"/>
        </w:rPr>
        <w:t xml:space="preserve"> </w:t>
      </w:r>
      <w:r>
        <w:rPr>
          <w:rFonts w:ascii="Times New Roman;serif" w:hAnsi="Times New Roman;serif"/>
          <w:b w:val="false"/>
          <w:color w:val="000000"/>
          <w:sz w:val="22"/>
        </w:rPr>
        <w:t>q</w:t>
      </w:r>
      <w:r>
        <w:rPr>
          <w:rFonts w:ascii="Times New Roman;serif" w:hAnsi="Times New Roman;serif"/>
          <w:b w:val="false"/>
          <w:color w:val="000000"/>
          <w:sz w:val="22"/>
          <w:shd w:fill="FFFFFF" w:val="clear"/>
        </w:rPr>
        <w:t>uarter of 2026, and net income</w:t>
      </w:r>
      <w:r>
        <w:rPr>
          <w:color w:val="000000"/>
        </w:rPr>
        <w:t xml:space="preserve"> </w:t>
      </w:r>
      <w:r>
        <w:rPr>
          <w:rFonts w:ascii="Times New Roman;serif" w:hAnsi="Times New Roman;serif"/>
          <w:b w:val="false"/>
          <w:color w:val="000000"/>
          <w:sz w:val="22"/>
        </w:rPr>
        <w:t>of $3.2 million, or $0.32 p</w:t>
      </w:r>
      <w:r>
        <w:rPr>
          <w:rFonts w:ascii="Times New Roman;serif" w:hAnsi="Times New Roman;serif"/>
          <w:b w:val="false"/>
          <w:color w:val="000000"/>
          <w:sz w:val="22"/>
          <w:shd w:fill="FFFFFF" w:val="clear"/>
        </w:rPr>
        <w:t>er diluted share, for the third quarter of 2025.</w: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Scott C. Wylie, CEO of First Western, commented, “Our third quarter results demonstrate continued execution and progress across our business, underscored by strong loan and deposit growth, accelerating loan production, further expansion in our net interest margin and disciplined expense management. Healthy client demand in our markets drove robust loan growth during the quarter, while continued growth in noninterest-bearing deposits reflects the strength of our relationship-based banking model and our ongoing focus on improving our funding mix. Together, these trends contributed to strong growth in net interest income and pre-provision net revenue, while asset quality remained stable.</w:t>
      </w:r>
    </w:p>
    <w:p>
      <w:pPr>
        <w:pStyle w:val="TextBody"/>
        <w:bidi w:val="0"/>
        <w:spacing w:before="0" w:after="0"/>
        <w:jc w:val="both"/>
        <w:rPr/>
      </w:pPr>
      <w:r>
        <w:rPr/>
      </w:r>
    </w:p>
    <w:p>
      <w:pPr>
        <w:pStyle w:val="TextBody"/>
        <w:bidi w:val="0"/>
        <w:spacing w:lineRule="auto" w:line="276"/>
        <w:jc w:val="left"/>
        <w:rPr>
          <w:color w:val="000000"/>
        </w:rPr>
      </w:pPr>
      <w:r>
        <w:rPr>
          <w:color w:val="000000"/>
        </w:rPr>
        <w:t>“</w:t>
      </w:r>
      <w:r>
        <w:rPr>
          <w:rFonts w:ascii="Times New Roman;serif" w:hAnsi="Times New Roman;serif"/>
          <w:b w:val="false"/>
          <w:color w:val="000000"/>
          <w:sz w:val="22"/>
        </w:rPr>
        <w:t>We remain encouraged by the strength of our loan pipeline and the opportunities we see across our markets. With continued momentum in our core banking franchise, disciplined expense management and a strong balance sheet, we believe we are well positioned to continue improving profitability and creating long-term value for our shareholders,” said Mr. Wylie.</w:t>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8642" w:type="dxa"/>
        <w:jc w:val="left"/>
        <w:tblInd w:w="0" w:type="dxa"/>
        <w:tblLayout w:type="fixed"/>
        <w:tblCellMar>
          <w:top w:w="28" w:type="dxa"/>
          <w:left w:w="28" w:type="dxa"/>
          <w:bottom w:w="28" w:type="dxa"/>
          <w:right w:w="28" w:type="dxa"/>
        </w:tblCellMar>
      </w:tblPr>
      <w:tblGrid>
        <w:gridCol w:w="1567"/>
        <w:gridCol w:w="1379"/>
        <w:gridCol w:w="1388"/>
        <w:gridCol w:w="211"/>
        <w:gridCol w:w="721"/>
        <w:gridCol w:w="271"/>
        <w:gridCol w:w="109"/>
        <w:gridCol w:w="109"/>
        <w:gridCol w:w="109"/>
        <w:gridCol w:w="211"/>
        <w:gridCol w:w="721"/>
        <w:gridCol w:w="271"/>
        <w:gridCol w:w="109"/>
        <w:gridCol w:w="109"/>
        <w:gridCol w:w="109"/>
        <w:gridCol w:w="211"/>
        <w:gridCol w:w="721"/>
        <w:gridCol w:w="316"/>
      </w:tblGrid>
      <w:tr>
        <w:trPr/>
        <w:tc>
          <w:tcPr>
            <w:tcW w:w="1567"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8" w:type="dxa"/>
            <w:gridSpan w:val="15"/>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rPr>
              <w:t>For the Three Months Ended</w:t>
            </w:r>
            <w:r>
              <w:rPr>
                <w:color w:val="000000"/>
              </w:rPr>
              <w:t xml:space="preserve"> </w:t>
            </w:r>
          </w:p>
        </w:tc>
      </w:tr>
      <w:tr>
        <w:trPr/>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r>
      <w:tr>
        <w:trPr/>
        <w:tc>
          <w:tcPr>
            <w:tcW w:w="433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16"/>
              </w:rPr>
            </w:pPr>
            <w:r>
              <w:rPr>
                <w:rFonts w:ascii="Times New Roman;serif" w:hAnsi="Times New Roman;serif"/>
                <w:b/>
                <w:i/>
                <w:color w:val="000000"/>
                <w:sz w:val="16"/>
              </w:rPr>
              <w:t>(Dollars in thousands, except per share data)</w:t>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Earnings Summary</w:t>
            </w:r>
          </w:p>
        </w:tc>
        <w:tc>
          <w:tcPr>
            <w:tcW w:w="120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22,960 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21,764 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19,454 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(release of) credit losses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2,257 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non-interest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5,806 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6,385 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6,842 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non-interest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20,840 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21,217 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20,074 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7,279 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7,401 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3,965 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1,672 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available to common shareholders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5,981 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5,729 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3,186 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per common share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0.61 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0.59 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common share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0.60 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0.57 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Return on average assets (annualized)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0.74 </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0.73 </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0.40 </w:t>
            </w:r>
          </w:p>
        </w:tc>
        <w:tc>
          <w:tcPr>
            <w:tcW w:w="3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Return on average shareholders' equity (annualized)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Return on tangible common equity (annualized)</w:t>
            </w:r>
            <w:r>
              <w:rPr>
                <w:rFonts w:ascii="Times New Roman;serif" w:hAnsi="Times New Roman;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margin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Efficiency ratio</w:t>
            </w:r>
            <w:r>
              <w:rPr>
                <w:rFonts w:ascii="Times New Roman;serif" w:hAnsi="Times New Roman;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72.20 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74.03 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76.38 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____________________</w:t>
      </w:r>
    </w:p>
    <w:p>
      <w:pPr>
        <w:pStyle w:val="TextBody"/>
        <w:bidi w:val="0"/>
        <w:spacing w:lineRule="auto" w:line="288" w:before="0" w:after="0"/>
        <w:ind w:left="0" w:right="0" w:hanging="18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 xml:space="preserve">Represents a Non-GAAP financial measure. See “Reconciliations of Non-GAAP Financial Measures” for a reconciliation of our Non-GAAP measures to the </w:t>
      </w:r>
      <w:r>
        <w:rPr>
          <w:rFonts w:ascii="Times New Roman;serif" w:hAnsi="Times New Roman;serif"/>
          <w:b w:val="false"/>
          <w:color w:val="000000"/>
          <w:sz w:val="16"/>
          <w:shd w:fill="FFFFFF" w:val="clear"/>
        </w:rPr>
        <w:t>most directly comparable GAAP financial measure.</w:t>
      </w:r>
    </w:p>
    <w:p>
      <w:pPr>
        <w:pStyle w:val="TextBody"/>
        <w:bidi w:val="0"/>
        <w:spacing w:lineRule="auto" w:line="288" w:before="240" w:after="283"/>
        <w:jc w:val="left"/>
        <w:rPr>
          <w:rFonts w:ascii="Times New Roman;serif" w:hAnsi="Times New Roman;serif"/>
          <w:b/>
          <w:color w:val="000000"/>
          <w:sz w:val="22"/>
          <w:u w:val="single"/>
          <w:shd w:fill="FFFFFF" w:val="clear"/>
        </w:rPr>
      </w:pPr>
      <w:r>
        <w:rPr>
          <w:rFonts w:ascii="Times New Roman;serif" w:hAnsi="Times New Roman;serif"/>
          <w:b/>
          <w:color w:val="000000"/>
          <w:sz w:val="22"/>
          <w:u w:val="single"/>
          <w:shd w:fill="FFFFFF" w:val="clear"/>
        </w:rPr>
        <w:t>Operating Results for the Third Quarter 2026</w:t>
      </w:r>
    </w:p>
    <w:p>
      <w:pPr>
        <w:pStyle w:val="TextBody"/>
        <w:bidi w:val="0"/>
        <w:spacing w:lineRule="auto" w:line="288" w:before="240" w:after="283"/>
        <w:jc w:val="left"/>
        <w:rPr>
          <w:rFonts w:ascii="Times New Roman;serif" w:hAnsi="Times New Roman;serif"/>
          <w:b/>
          <w:color w:val="000000"/>
          <w:sz w:val="22"/>
          <w:shd w:fill="FFFFFF" w:val="clear"/>
        </w:rPr>
      </w:pPr>
      <w:r>
        <w:rPr>
          <w:rFonts w:ascii="Times New Roman;serif" w:hAnsi="Times New Roman;serif"/>
          <w:b/>
          <w:color w:val="000000"/>
          <w:sz w:val="22"/>
          <w:shd w:fill="FFFFFF" w:val="clear"/>
        </w:rPr>
        <w:t>Revenue</w:t>
      </w:r>
    </w:p>
    <w:p>
      <w:pPr>
        <w:pStyle w:val="TextBody"/>
        <w:bidi w:val="0"/>
        <w:spacing w:lineRule="auto" w:line="288" w:before="240" w:after="283"/>
        <w:jc w:val="both"/>
        <w:rPr/>
      </w:pPr>
      <w:r>
        <w:rPr>
          <w:rFonts w:ascii="Times New Roman;serif" w:hAnsi="Times New Roman;serif"/>
          <w:b w:val="false"/>
          <w:color w:val="0A0A0A"/>
          <w:sz w:val="22"/>
          <w:shd w:fill="FFFFFF" w:val="clear"/>
        </w:rPr>
        <w:t xml:space="preserve">Total income before non-interest expense was </w:t>
      </w:r>
      <w:r>
        <w:rPr>
          <w:rFonts w:ascii="Times New Roman;serif" w:hAnsi="Times New Roman;serif"/>
          <w:b w:val="false"/>
          <w:color w:val="000000"/>
          <w:sz w:val="22"/>
        </w:rPr>
        <w:t>$28.1 million</w:t>
      </w:r>
      <w:r>
        <w:rPr>
          <w:color w:val="0A0A0A"/>
        </w:rPr>
        <w:t xml:space="preserve"> </w:t>
      </w:r>
      <w:r>
        <w:rPr>
          <w:rFonts w:ascii="Times New Roman;serif" w:hAnsi="Times New Roman;serif"/>
          <w:b w:val="false"/>
          <w:color w:val="0A0A0A"/>
          <w:sz w:val="22"/>
        </w:rPr>
        <w:t>for th</w:t>
      </w:r>
      <w:r>
        <w:rPr>
          <w:rFonts w:ascii="Times New Roman;serif" w:hAnsi="Times New Roman;serif"/>
          <w:b w:val="false"/>
          <w:color w:val="0A0A0A"/>
          <w:sz w:val="22"/>
          <w:shd w:fill="FFFFFF" w:val="clear"/>
        </w:rPr>
        <w:t xml:space="preserve">e </w:t>
      </w:r>
      <w:r>
        <w:rPr>
          <w:rFonts w:ascii="Times New Roman;serif" w:hAnsi="Times New Roman;serif"/>
          <w:b w:val="false"/>
          <w:color w:val="000000"/>
          <w:sz w:val="22"/>
          <w:shd w:fill="FFFFFF" w:val="clear"/>
        </w:rPr>
        <w:t>third quarter of</w:t>
      </w:r>
      <w:r>
        <w:rPr>
          <w:color w:val="000000"/>
          <w:shd w:fill="FFFFFF" w:val="clear"/>
        </w:rPr>
        <w:t xml:space="preserve"> </w:t>
      </w:r>
      <w:r>
        <w:rPr>
          <w:rFonts w:ascii="Times New Roman;serif" w:hAnsi="Times New Roman;serif"/>
          <w:b w:val="false"/>
          <w:color w:val="000000"/>
          <w:sz w:val="22"/>
          <w:shd w:fill="FFFFFF" w:val="clear"/>
        </w:rPr>
        <w:t>2026</w:t>
      </w:r>
      <w:r>
        <w:rPr>
          <w:rFonts w:ascii="Times New Roman;serif" w:hAnsi="Times New Roman;serif"/>
          <w:b w:val="false"/>
          <w:color w:val="0A0A0A"/>
          <w:sz w:val="22"/>
          <w:shd w:fill="FFFFFF" w:val="clear"/>
        </w:rPr>
        <w:t xml:space="preserve">, </w:t>
      </w:r>
      <w:r>
        <w:rPr>
          <w:rFonts w:ascii="Times New Roman;serif" w:hAnsi="Times New Roman;serif"/>
          <w:b w:val="false"/>
          <w:color w:val="0A0A0A"/>
          <w:sz w:val="22"/>
        </w:rPr>
        <w:t xml:space="preserve">a decrease of </w:t>
      </w:r>
      <w:r>
        <w:rPr>
          <w:rFonts w:ascii="Times New Roman;serif" w:hAnsi="Times New Roman;serif"/>
          <w:b w:val="false"/>
          <w:color w:val="000000"/>
          <w:sz w:val="22"/>
        </w:rPr>
        <w:t xml:space="preserve">1.7% </w:t>
      </w:r>
      <w:r>
        <w:rPr>
          <w:rFonts w:ascii="Times New Roman;serif" w:hAnsi="Times New Roman;serif"/>
          <w:b w:val="false"/>
          <w:color w:val="0A0A0A"/>
          <w:sz w:val="22"/>
        </w:rPr>
        <w:t xml:space="preserve">from </w:t>
      </w:r>
      <w:r>
        <w:rPr>
          <w:rFonts w:ascii="Times New Roman;serif" w:hAnsi="Times New Roman;serif"/>
          <w:b w:val="false"/>
          <w:color w:val="000000"/>
          <w:sz w:val="22"/>
        </w:rPr>
        <w:t>$28.6 million</w:t>
      </w:r>
      <w:r>
        <w:rPr>
          <w:color w:val="0A0A0A"/>
        </w:rPr>
        <w:t xml:space="preserve"> </w:t>
      </w:r>
      <w:r>
        <w:rPr>
          <w:rFonts w:ascii="Times New Roman;serif" w:hAnsi="Times New Roman;serif"/>
          <w:b w:val="false"/>
          <w:color w:val="0A0A0A"/>
          <w:sz w:val="22"/>
        </w:rPr>
        <w:t xml:space="preserve">for the </w:t>
      </w:r>
      <w:r>
        <w:rPr>
          <w:rFonts w:ascii="Times New Roman;serif" w:hAnsi="Times New Roman;serif"/>
          <w:b w:val="false"/>
          <w:color w:val="000000"/>
          <w:sz w:val="22"/>
        </w:rPr>
        <w:t>second quarter of 2026</w:t>
      </w:r>
      <w:r>
        <w:rPr>
          <w:rFonts w:ascii="Times New Roman;serif" w:hAnsi="Times New Roman;serif"/>
          <w:b w:val="false"/>
          <w:color w:val="0A0A0A"/>
          <w:sz w:val="22"/>
        </w:rPr>
        <w:t>. Gross revenue</w:t>
      </w:r>
      <w:r>
        <w:rPr>
          <w:rFonts w:ascii="Times New Roman;serif" w:hAnsi="Times New Roman;serif"/>
          <w:b w:val="false"/>
          <w:color w:val="0A0A0A"/>
          <w:sz w:val="14"/>
        </w:rPr>
        <w:t>(1)</w:t>
      </w:r>
      <w:r>
        <w:rPr>
          <w:color w:val="0A0A0A"/>
        </w:rPr>
        <w:t xml:space="preserve"> </w:t>
      </w:r>
      <w:r>
        <w:rPr>
          <w:rFonts w:ascii="Times New Roman;serif" w:hAnsi="Times New Roman;serif"/>
          <w:b w:val="false"/>
          <w:color w:val="0A0A0A"/>
          <w:sz w:val="22"/>
        </w:rPr>
        <w:t xml:space="preserve">was $28.9 million for the </w:t>
      </w:r>
      <w:r>
        <w:rPr>
          <w:rFonts w:ascii="Times New Roman;serif" w:hAnsi="Times New Roman;serif"/>
          <w:b w:val="false"/>
          <w:color w:val="000000"/>
          <w:sz w:val="22"/>
          <w:shd w:fill="FFFFFF" w:val="clear"/>
        </w:rPr>
        <w:t>third quarter of</w:t>
      </w:r>
      <w:r>
        <w:rPr>
          <w:color w:val="000000"/>
          <w:shd w:fill="FFFFFF" w:val="clear"/>
        </w:rPr>
        <w:t xml:space="preserve"> </w:t>
      </w:r>
      <w:r>
        <w:rPr>
          <w:rFonts w:ascii="Times New Roman;serif" w:hAnsi="Times New Roman;serif"/>
          <w:b w:val="false"/>
          <w:color w:val="000000"/>
          <w:sz w:val="22"/>
          <w:shd w:fill="FFFFFF" w:val="clear"/>
        </w:rPr>
        <w:t>2026</w:t>
      </w:r>
      <w:r>
        <w:rPr>
          <w:rFonts w:ascii="Times New Roman;serif" w:hAnsi="Times New Roman;serif"/>
          <w:b w:val="false"/>
          <w:color w:val="0A0A0A"/>
          <w:sz w:val="22"/>
        </w:rPr>
        <w:t xml:space="preserve">, an increase of </w:t>
      </w:r>
      <w:r>
        <w:rPr>
          <w:rFonts w:ascii="Times New Roman;serif" w:hAnsi="Times New Roman;serif"/>
          <w:b w:val="false"/>
          <w:color w:val="000000"/>
          <w:sz w:val="22"/>
        </w:rPr>
        <w:t>2.8%</w:t>
      </w:r>
      <w:r>
        <w:rPr>
          <w:color w:val="0A0A0A"/>
        </w:rPr>
        <w:t xml:space="preserve"> </w:t>
      </w:r>
      <w:r>
        <w:rPr>
          <w:rFonts w:ascii="Times New Roman;serif" w:hAnsi="Times New Roman;serif"/>
          <w:b w:val="false"/>
          <w:color w:val="0A0A0A"/>
          <w:sz w:val="22"/>
        </w:rPr>
        <w:t xml:space="preserve">from $28.1 million for the </w:t>
      </w:r>
      <w:r>
        <w:rPr>
          <w:rFonts w:ascii="Times New Roman;serif" w:hAnsi="Times New Roman;serif"/>
          <w:b w:val="false"/>
          <w:color w:val="000000"/>
          <w:sz w:val="22"/>
          <w:shd w:fill="FFFFFF" w:val="clear"/>
        </w:rPr>
        <w:t>second</w:t>
      </w:r>
      <w:r>
        <w:rPr>
          <w:color w:val="000000"/>
        </w:rPr>
        <w:t xml:space="preserve"> </w:t>
      </w:r>
      <w:r>
        <w:rPr>
          <w:rFonts w:ascii="Times New Roman;serif" w:hAnsi="Times New Roman;serif"/>
          <w:b w:val="false"/>
          <w:color w:val="000000"/>
          <w:sz w:val="22"/>
        </w:rPr>
        <w:t>q</w:t>
      </w:r>
      <w:r>
        <w:rPr>
          <w:rFonts w:ascii="Times New Roman;serif" w:hAnsi="Times New Roman;serif"/>
          <w:b w:val="false"/>
          <w:color w:val="000000"/>
          <w:sz w:val="22"/>
          <w:shd w:fill="FFFFFF" w:val="clear"/>
        </w:rPr>
        <w:t>uarter of 2026</w:t>
      </w:r>
      <w:r>
        <w:rPr>
          <w:rFonts w:ascii="Times New Roman;serif" w:hAnsi="Times New Roman;serif"/>
          <w:b w:val="false"/>
          <w:color w:val="0A0A0A"/>
          <w:sz w:val="22"/>
        </w:rPr>
        <w:t xml:space="preserve">. Relative to the </w:t>
      </w:r>
      <w:r>
        <w:rPr>
          <w:rFonts w:ascii="Times New Roman;serif" w:hAnsi="Times New Roman;serif"/>
          <w:b w:val="false"/>
          <w:color w:val="000000"/>
          <w:sz w:val="22"/>
        </w:rPr>
        <w:t>second quarter of 2026, t</w:t>
      </w:r>
      <w:r>
        <w:rPr>
          <w:rFonts w:ascii="Times New Roman;serif" w:hAnsi="Times New Roman;serif"/>
          <w:b w:val="false"/>
          <w:color w:val="0A0A0A"/>
          <w:sz w:val="22"/>
        </w:rPr>
        <w:t xml:space="preserve">he </w:t>
      </w:r>
      <w:r>
        <w:rPr>
          <w:rFonts w:ascii="Times New Roman;serif" w:hAnsi="Times New Roman;serif"/>
          <w:b w:val="false"/>
          <w:color w:val="000000"/>
          <w:sz w:val="22"/>
        </w:rPr>
        <w:t>decrease</w:t>
      </w:r>
      <w:r>
        <w:rPr>
          <w:color w:val="0A0A0A"/>
        </w:rPr>
        <w:t xml:space="preserve"> </w:t>
      </w:r>
      <w:r>
        <w:rPr>
          <w:rFonts w:ascii="Times New Roman;serif" w:hAnsi="Times New Roman;serif"/>
          <w:b w:val="false"/>
          <w:color w:val="0A0A0A"/>
          <w:sz w:val="22"/>
        </w:rPr>
        <w:t>in Total income before non-interest expense was primarily driven by an increase in Provision for credit losses and a decrease in Non-interest income, partially offset by an increase in Net interest income.</w:t>
      </w:r>
      <w:r>
        <w:rPr>
          <w:color w:val="000000"/>
        </w:rPr>
        <w:t xml:space="preserve"> </w:t>
      </w:r>
      <w:r>
        <w:rPr>
          <w:rFonts w:ascii="Times New Roman;serif" w:hAnsi="Times New Roman;serif"/>
          <w:b w:val="false"/>
          <w:color w:val="0A0A0A"/>
          <w:sz w:val="22"/>
        </w:rPr>
        <w:t xml:space="preserve">Relative to the </w:t>
      </w:r>
      <w:r>
        <w:rPr>
          <w:rFonts w:ascii="Times New Roman;serif" w:hAnsi="Times New Roman;serif"/>
          <w:b w:val="false"/>
          <w:color w:val="000000"/>
          <w:sz w:val="22"/>
        </w:rPr>
        <w:t>third quarter of 2025</w:t>
      </w:r>
      <w:r>
        <w:rPr>
          <w:rFonts w:ascii="Times New Roman;serif" w:hAnsi="Times New Roman;serif"/>
          <w:b w:val="false"/>
          <w:color w:val="0A0A0A"/>
          <w:sz w:val="22"/>
        </w:rPr>
        <w:t>,</w:t>
      </w:r>
      <w:r>
        <w:rPr>
          <w:color w:val="000000"/>
        </w:rPr>
        <w:t xml:space="preserve"> </w:t>
      </w:r>
      <w:r>
        <w:rPr>
          <w:rFonts w:ascii="Times New Roman;serif" w:hAnsi="Times New Roman;serif"/>
          <w:b w:val="false"/>
          <w:color w:val="000000"/>
          <w:sz w:val="22"/>
        </w:rPr>
        <w:t>Total income before non-interest expense increased 17.1% from $24.0 million and Gross revenue increased 9.9% from $26.3 million. Relative to the third quarter of 2025, the increase in Total income before non-interest expense was primarily driven by an increase in Net interest income and a decrease in Provision for credit losses.</w:t>
      </w:r>
    </w:p>
    <w:p>
      <w:pPr>
        <w:pStyle w:val="TextBody"/>
        <w:bidi w:val="0"/>
        <w:spacing w:lineRule="auto" w:line="288" w:before="240" w:after="283"/>
        <w:ind w:left="0" w:right="0" w:hanging="180"/>
        <w:jc w:val="both"/>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Rep</w:t>
      </w:r>
      <w:r>
        <w:rPr>
          <w:rFonts w:ascii="Times New Roman;serif" w:hAnsi="Times New Roman;serif"/>
          <w:b w:val="false"/>
          <w:color w:val="000000"/>
          <w:sz w:val="18"/>
          <w:shd w:fill="FFFFFF" w:val="clear"/>
        </w:rPr>
        <w:t>resents a Non-GAAP financial measure. See “Reconciliations of Non-GAAP Financial Measures” for a reconciliation of our Non-GAAP measures to the most directly comparable GAAP financial measure.</w:t>
      </w:r>
    </w:p>
    <w:p>
      <w:pPr>
        <w:pStyle w:val="TextBody"/>
        <w:bidi w:val="0"/>
        <w:spacing w:lineRule="auto" w:line="288" w:before="240" w:after="283"/>
        <w:jc w:val="both"/>
        <w:rPr>
          <w:rFonts w:ascii="Times New Roman;serif" w:hAnsi="Times New Roman;serif"/>
          <w:b/>
          <w:color w:val="0A0A0A"/>
          <w:sz w:val="22"/>
        </w:rPr>
      </w:pPr>
      <w:r>
        <w:rPr>
          <w:rFonts w:ascii="Times New Roman;serif" w:hAnsi="Times New Roman;serif"/>
          <w:b/>
          <w:color w:val="0A0A0A"/>
          <w:sz w:val="22"/>
        </w:rPr>
        <w:t>Net Interest Margin</w:t>
      </w:r>
    </w:p>
    <w:p>
      <w:pPr>
        <w:pStyle w:val="TextBody"/>
        <w:bidi w:val="0"/>
        <w:spacing w:lineRule="auto" w:line="288" w:before="240" w:after="283"/>
        <w:jc w:val="both"/>
        <w:rPr/>
      </w:pPr>
      <w:r>
        <w:rPr>
          <w:rFonts w:ascii="Times New Roman;serif" w:hAnsi="Times New Roman;serif"/>
          <w:b w:val="false"/>
          <w:color w:val="0A0A0A"/>
          <w:sz w:val="22"/>
        </w:rPr>
        <w:t xml:space="preserve">Net interest margin for the </w:t>
      </w:r>
      <w:r>
        <w:rPr>
          <w:rFonts w:ascii="Times New Roman;serif" w:hAnsi="Times New Roman;serif"/>
          <w:b w:val="false"/>
          <w:color w:val="000000"/>
          <w:sz w:val="22"/>
        </w:rPr>
        <w:t>third quarter of</w:t>
      </w:r>
      <w:r>
        <w:rPr>
          <w:color w:val="000000"/>
        </w:rPr>
        <w:t xml:space="preserve"> </w:t>
      </w:r>
      <w:r>
        <w:rPr>
          <w:rFonts w:ascii="Times New Roman;serif" w:hAnsi="Times New Roman;serif"/>
          <w:b w:val="false"/>
          <w:color w:val="000000"/>
          <w:sz w:val="22"/>
        </w:rPr>
        <w:t>2026 increased</w:t>
      </w:r>
      <w:r>
        <w:rPr>
          <w:color w:val="0A0A0A"/>
        </w:rPr>
        <w:t xml:space="preserve"> </w:t>
      </w:r>
      <w:r>
        <w:rPr>
          <w:rFonts w:ascii="Times New Roman;serif" w:hAnsi="Times New Roman;serif"/>
          <w:b w:val="false"/>
          <w:color w:val="0A0A0A"/>
          <w:sz w:val="22"/>
        </w:rPr>
        <w:t xml:space="preserve">5 basis points to 2.95% from 2.90% reported in the </w:t>
      </w:r>
      <w:r>
        <w:rPr>
          <w:rFonts w:ascii="Times New Roman;serif" w:hAnsi="Times New Roman;serif"/>
          <w:b w:val="false"/>
          <w:color w:val="000000"/>
          <w:sz w:val="22"/>
        </w:rPr>
        <w:t xml:space="preserve">second quarter of 2026, primarily due to an increase in yield on average interest-earning assets, partially offset by an increase in cost of funds. The yield on interest-earning assets increased </w:t>
      </w:r>
      <w:r>
        <w:rPr>
          <w:rFonts w:ascii="Times New Roman;serif" w:hAnsi="Times New Roman;serif"/>
          <w:b w:val="false"/>
          <w:color w:val="0A0A0A"/>
          <w:sz w:val="22"/>
        </w:rPr>
        <w:t>7 basis points</w:t>
      </w:r>
      <w:r>
        <w:rPr>
          <w:color w:val="000000"/>
        </w:rPr>
        <w:t xml:space="preserve"> </w:t>
      </w:r>
      <w:r>
        <w:rPr>
          <w:rFonts w:ascii="Times New Roman;serif" w:hAnsi="Times New Roman;serif"/>
          <w:b w:val="false"/>
          <w:color w:val="000000"/>
          <w:sz w:val="22"/>
        </w:rPr>
        <w:t>to 5.65% from 5.58%</w:t>
      </w:r>
      <w:r>
        <w:rPr>
          <w:color w:val="000000"/>
        </w:rPr>
        <w:t xml:space="preserve"> </w:t>
      </w:r>
      <w:r>
        <w:rPr>
          <w:rFonts w:ascii="Times New Roman;serif" w:hAnsi="Times New Roman;serif"/>
          <w:b w:val="false"/>
          <w:color w:val="000000"/>
          <w:sz w:val="22"/>
        </w:rPr>
        <w:t>reported in the second quarter of 2026, while t</w:t>
      </w:r>
      <w:r>
        <w:rPr>
          <w:rFonts w:ascii="Times New Roman;serif" w:hAnsi="Times New Roman;serif"/>
          <w:b w:val="false"/>
          <w:color w:val="0A0A0A"/>
          <w:sz w:val="22"/>
        </w:rPr>
        <w:t xml:space="preserve">he cost of funds </w:t>
      </w:r>
      <w:r>
        <w:rPr>
          <w:rFonts w:ascii="Times New Roman;serif" w:hAnsi="Times New Roman;serif"/>
          <w:b w:val="false"/>
          <w:color w:val="000000"/>
          <w:sz w:val="22"/>
        </w:rPr>
        <w:t xml:space="preserve">increased </w:t>
      </w:r>
      <w:r>
        <w:rPr>
          <w:rFonts w:ascii="Times New Roman;serif" w:hAnsi="Times New Roman;serif"/>
          <w:b w:val="false"/>
          <w:color w:val="0A0A0A"/>
          <w:sz w:val="22"/>
        </w:rPr>
        <w:t>2 basis points</w:t>
      </w:r>
      <w:r>
        <w:rPr>
          <w:color w:val="000000"/>
        </w:rPr>
        <w:t xml:space="preserve"> </w:t>
      </w:r>
      <w:r>
        <w:rPr>
          <w:rFonts w:ascii="Times New Roman;serif" w:hAnsi="Times New Roman;serif"/>
          <w:b w:val="false"/>
          <w:color w:val="0A0A0A"/>
          <w:sz w:val="22"/>
        </w:rPr>
        <w:t xml:space="preserve">to 2.88% from 2.86% reported in the </w:t>
      </w:r>
      <w:r>
        <w:rPr>
          <w:rFonts w:ascii="Times New Roman;serif" w:hAnsi="Times New Roman;serif"/>
          <w:b w:val="false"/>
          <w:color w:val="000000"/>
          <w:sz w:val="22"/>
        </w:rPr>
        <w:t>second quarter of 2026. The increase in yield on interest-earning assets was primarily driven by an increase in loan yields. The increase in cost of funds was primarily driven by higher cost of deposits as a result of higher rates on money market accounts.</w:t>
      </w:r>
    </w:p>
    <w:p>
      <w:pPr>
        <w:pStyle w:val="TextBody"/>
        <w:bidi w:val="0"/>
        <w:spacing w:lineRule="auto" w:line="288" w:before="240" w:after="283"/>
        <w:jc w:val="both"/>
        <w:rPr/>
      </w:pPr>
      <w:r>
        <w:rPr>
          <w:rFonts w:ascii="Times New Roman;serif" w:hAnsi="Times New Roman;serif"/>
          <w:b w:val="false"/>
          <w:color w:val="0A0A0A"/>
          <w:sz w:val="22"/>
        </w:rPr>
        <w:t xml:space="preserve">Relative to the </w:t>
      </w:r>
      <w:r>
        <w:rPr>
          <w:rFonts w:ascii="Times New Roman;serif" w:hAnsi="Times New Roman;serif"/>
          <w:b w:val="false"/>
          <w:color w:val="000000"/>
          <w:sz w:val="22"/>
        </w:rPr>
        <w:t>third quarter of 2025</w:t>
      </w:r>
      <w:r>
        <w:rPr>
          <w:rFonts w:ascii="Times New Roman;serif" w:hAnsi="Times New Roman;serif"/>
          <w:b w:val="false"/>
          <w:color w:val="0A0A0A"/>
          <w:sz w:val="22"/>
        </w:rPr>
        <w:t xml:space="preserve">, net interest margin </w:t>
      </w:r>
      <w:r>
        <w:rPr>
          <w:rFonts w:ascii="Times New Roman;serif" w:hAnsi="Times New Roman;serif"/>
          <w:b w:val="false"/>
          <w:color w:val="000000"/>
          <w:sz w:val="22"/>
        </w:rPr>
        <w:t>increased</w:t>
      </w:r>
      <w:r>
        <w:rPr>
          <w:color w:val="0A0A0A"/>
        </w:rPr>
        <w:t xml:space="preserve"> </w:t>
      </w:r>
      <w:r>
        <w:rPr>
          <w:rFonts w:ascii="Times New Roman;serif" w:hAnsi="Times New Roman;serif"/>
          <w:b w:val="false"/>
          <w:color w:val="000000"/>
          <w:sz w:val="22"/>
        </w:rPr>
        <w:t>41 basis points</w:t>
      </w:r>
      <w:r>
        <w:rPr>
          <w:color w:val="0A0A0A"/>
        </w:rPr>
        <w:t xml:space="preserve"> </w:t>
      </w:r>
      <w:r>
        <w:rPr>
          <w:rFonts w:ascii="Times New Roman;serif" w:hAnsi="Times New Roman;serif"/>
          <w:b w:val="false"/>
          <w:color w:val="0A0A0A"/>
          <w:sz w:val="22"/>
        </w:rPr>
        <w:t xml:space="preserve">from 2.54% due to a </w:t>
      </w:r>
      <w:r>
        <w:rPr>
          <w:rFonts w:ascii="Times New Roman;serif" w:hAnsi="Times New Roman;serif"/>
          <w:b w:val="false"/>
          <w:color w:val="000000"/>
          <w:sz w:val="22"/>
        </w:rPr>
        <w:t>35 basis point</w:t>
      </w:r>
      <w:r>
        <w:rPr>
          <w:color w:val="0A0A0A"/>
        </w:rPr>
        <w:t xml:space="preserve"> </w:t>
      </w:r>
      <w:r>
        <w:rPr>
          <w:rFonts w:ascii="Times New Roman;serif" w:hAnsi="Times New Roman;serif"/>
          <w:b w:val="false"/>
          <w:color w:val="0A0A0A"/>
          <w:sz w:val="22"/>
        </w:rPr>
        <w:t>decrease in cost of funds as a result of the lower interest rate environment and an increase in yield on average interest-earning assets.</w:t>
      </w: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240" w:after="283"/>
        <w:jc w:val="left"/>
        <w:rPr>
          <w:rFonts w:ascii="Times New Roman;serif" w:hAnsi="Times New Roman;serif"/>
          <w:b/>
          <w:color w:val="0A0A0A"/>
          <w:sz w:val="22"/>
          <w:shd w:fill="FFFFFF" w:val="clear"/>
        </w:rPr>
      </w:pPr>
      <w:r>
        <w:rPr>
          <w:rFonts w:ascii="Times New Roman;serif" w:hAnsi="Times New Roman;serif"/>
          <w:b/>
          <w:color w:val="0A0A0A"/>
          <w:sz w:val="22"/>
          <w:shd w:fill="FFFFFF" w:val="clear"/>
        </w:rPr>
        <w:t>Net Interest Income</w:t>
      </w:r>
    </w:p>
    <w:p>
      <w:pPr>
        <w:pStyle w:val="TextBody"/>
        <w:bidi w:val="0"/>
        <w:spacing w:lineRule="auto" w:line="288" w:before="240" w:after="283"/>
        <w:jc w:val="both"/>
        <w:rPr/>
      </w:pPr>
      <w:r>
        <w:rPr>
          <w:rFonts w:ascii="Times New Roman;serif" w:hAnsi="Times New Roman;serif"/>
          <w:b w:val="false"/>
          <w:color w:val="0A0A0A"/>
          <w:sz w:val="22"/>
        </w:rPr>
        <w:t xml:space="preserve">Net interest income for the </w:t>
      </w:r>
      <w:r>
        <w:rPr>
          <w:rFonts w:ascii="Times New Roman;serif" w:hAnsi="Times New Roman;serif"/>
          <w:b w:val="false"/>
          <w:color w:val="000000"/>
          <w:sz w:val="22"/>
        </w:rPr>
        <w:t>third quarter of</w:t>
      </w:r>
      <w:r>
        <w:rPr>
          <w:color w:val="000000"/>
        </w:rPr>
        <w:t xml:space="preserve"> </w:t>
      </w:r>
      <w:r>
        <w:rPr>
          <w:rFonts w:ascii="Times New Roman;serif" w:hAnsi="Times New Roman;serif"/>
          <w:b w:val="false"/>
          <w:color w:val="000000"/>
          <w:sz w:val="22"/>
        </w:rPr>
        <w:t xml:space="preserve">2026 </w:t>
      </w:r>
      <w:r>
        <w:rPr>
          <w:rFonts w:ascii="Times New Roman;serif" w:hAnsi="Times New Roman;serif"/>
          <w:b w:val="false"/>
          <w:color w:val="0A0A0A"/>
          <w:sz w:val="22"/>
        </w:rPr>
        <w:t xml:space="preserve">was $23.0 million, an increase of </w:t>
      </w:r>
      <w:r>
        <w:rPr>
          <w:rFonts w:ascii="Times New Roman;serif" w:hAnsi="Times New Roman;serif"/>
          <w:b w:val="false"/>
          <w:color w:val="000000"/>
          <w:sz w:val="22"/>
        </w:rPr>
        <w:t>5.5%</w:t>
      </w:r>
      <w:r>
        <w:rPr>
          <w:color w:val="0A0A0A"/>
        </w:rPr>
        <w:t xml:space="preserve"> </w:t>
      </w:r>
      <w:r>
        <w:rPr>
          <w:rFonts w:ascii="Times New Roman;serif" w:hAnsi="Times New Roman;serif"/>
          <w:b w:val="false"/>
          <w:color w:val="0A0A0A"/>
          <w:sz w:val="22"/>
        </w:rPr>
        <w:t xml:space="preserve">from $21.8 million for the </w:t>
      </w:r>
      <w:r>
        <w:rPr>
          <w:rFonts w:ascii="Times New Roman;serif" w:hAnsi="Times New Roman;serif"/>
          <w:b w:val="false"/>
          <w:color w:val="000000"/>
          <w:sz w:val="22"/>
        </w:rPr>
        <w:t>second quarter of 2026</w:t>
      </w:r>
      <w:r>
        <w:rPr>
          <w:rFonts w:ascii="Times New Roman;serif" w:hAnsi="Times New Roman;serif"/>
          <w:b w:val="false"/>
          <w:color w:val="0A0A0A"/>
          <w:sz w:val="22"/>
        </w:rPr>
        <w:t>.</w:t>
      </w:r>
      <w:r>
        <w:rPr>
          <w:color w:val="000000"/>
        </w:rPr>
        <w:t xml:space="preserve"> </w:t>
      </w:r>
      <w:r>
        <w:rPr>
          <w:rFonts w:ascii="Times New Roman;serif" w:hAnsi="Times New Roman;serif"/>
          <w:b w:val="false"/>
          <w:color w:val="000000"/>
          <w:sz w:val="22"/>
        </w:rPr>
        <w:t xml:space="preserve">The </w:t>
      </w:r>
      <w:r>
        <w:rPr>
          <w:rFonts w:ascii="Times New Roman;serif" w:hAnsi="Times New Roman;serif"/>
          <w:b w:val="false"/>
          <w:color w:val="0A0A0A"/>
          <w:sz w:val="22"/>
        </w:rPr>
        <w:t>increase</w:t>
      </w:r>
      <w:r>
        <w:rPr>
          <w:color w:val="000000"/>
        </w:rPr>
        <w:t xml:space="preserve"> </w:t>
      </w:r>
      <w:r>
        <w:rPr>
          <w:rFonts w:ascii="Times New Roman;serif" w:hAnsi="Times New Roman;serif"/>
          <w:b w:val="false"/>
          <w:color w:val="000000"/>
          <w:sz w:val="22"/>
        </w:rPr>
        <w:t xml:space="preserve">was primarily driven by a 5 basis point increase in net interest margin and an </w:t>
      </w:r>
      <w:r>
        <w:rPr>
          <w:rFonts w:ascii="Times New Roman;serif" w:hAnsi="Times New Roman;serif"/>
          <w:b w:val="false"/>
          <w:color w:val="0A0A0A"/>
          <w:sz w:val="22"/>
        </w:rPr>
        <w:t xml:space="preserve">$81.1 million </w:t>
      </w:r>
      <w:r>
        <w:rPr>
          <w:rFonts w:ascii="Times New Roman;serif" w:hAnsi="Times New Roman;serif"/>
          <w:b w:val="false"/>
          <w:color w:val="000000"/>
          <w:sz w:val="22"/>
        </w:rPr>
        <w:t xml:space="preserve">increase in average interest-earning assets. </w:t>
      </w:r>
      <w:r>
        <w:rPr>
          <w:rFonts w:ascii="Times New Roman;serif" w:hAnsi="Times New Roman;serif"/>
          <w:b w:val="false"/>
          <w:color w:val="0A0A0A"/>
          <w:sz w:val="22"/>
        </w:rPr>
        <w:t xml:space="preserve">Relative to the </w:t>
      </w:r>
      <w:r>
        <w:rPr>
          <w:rFonts w:ascii="Times New Roman;serif" w:hAnsi="Times New Roman;serif"/>
          <w:b w:val="false"/>
          <w:color w:val="000000"/>
          <w:sz w:val="22"/>
        </w:rPr>
        <w:t>third quarter of 2025</w:t>
      </w:r>
      <w:r>
        <w:rPr>
          <w:rFonts w:ascii="Times New Roman;serif" w:hAnsi="Times New Roman;serif"/>
          <w:b w:val="false"/>
          <w:color w:val="0A0A0A"/>
          <w:sz w:val="22"/>
        </w:rPr>
        <w:t xml:space="preserve">, Net interest income </w:t>
      </w:r>
      <w:r>
        <w:rPr>
          <w:rFonts w:ascii="Times New Roman;serif" w:hAnsi="Times New Roman;serif"/>
          <w:b w:val="false"/>
          <w:color w:val="000000"/>
          <w:sz w:val="22"/>
        </w:rPr>
        <w:t>increased</w:t>
      </w:r>
      <w:r>
        <w:rPr>
          <w:color w:val="0A0A0A"/>
        </w:rPr>
        <w:t xml:space="preserve"> </w:t>
      </w:r>
      <w:r>
        <w:rPr>
          <w:rFonts w:ascii="Times New Roman;serif" w:hAnsi="Times New Roman;serif"/>
          <w:b w:val="false"/>
          <w:color w:val="000000"/>
          <w:sz w:val="22"/>
        </w:rPr>
        <w:t xml:space="preserve">17.9% </w:t>
      </w:r>
      <w:r>
        <w:rPr>
          <w:rFonts w:ascii="Times New Roman;serif" w:hAnsi="Times New Roman;serif"/>
          <w:b w:val="false"/>
          <w:color w:val="0A0A0A"/>
          <w:sz w:val="22"/>
        </w:rPr>
        <w:t xml:space="preserve">from $19.5 million. The increase compared to the </w:t>
      </w:r>
      <w:r>
        <w:rPr>
          <w:rFonts w:ascii="Times New Roman;serif" w:hAnsi="Times New Roman;serif"/>
          <w:b w:val="false"/>
          <w:color w:val="000000"/>
          <w:sz w:val="22"/>
        </w:rPr>
        <w:t>third quarter of 2025</w:t>
      </w:r>
      <w:r>
        <w:rPr>
          <w:color w:val="0A0A0A"/>
        </w:rPr>
        <w:t xml:space="preserve"> </w:t>
      </w:r>
      <w:r>
        <w:rPr>
          <w:rFonts w:ascii="Times New Roman;serif" w:hAnsi="Times New Roman;serif"/>
          <w:b w:val="false"/>
          <w:color w:val="0A0A0A"/>
          <w:sz w:val="22"/>
        </w:rPr>
        <w:t xml:space="preserve">was primarily driven by a </w:t>
      </w:r>
      <w:r>
        <w:rPr>
          <w:rFonts w:ascii="Times New Roman;serif" w:hAnsi="Times New Roman;serif"/>
          <w:b w:val="false"/>
          <w:color w:val="000000"/>
          <w:sz w:val="22"/>
        </w:rPr>
        <w:t xml:space="preserve">41 basis point </w:t>
      </w:r>
      <w:r>
        <w:rPr>
          <w:rFonts w:ascii="Times New Roman;serif" w:hAnsi="Times New Roman;serif"/>
          <w:b w:val="false"/>
          <w:color w:val="0A0A0A"/>
          <w:sz w:val="22"/>
        </w:rPr>
        <w:t>increase in net interest margin and an increase in average interest-earning assets.</w:t>
      </w:r>
    </w:p>
    <w:p>
      <w:pPr>
        <w:pStyle w:val="TextBody"/>
        <w:bidi w:val="0"/>
        <w:spacing w:lineRule="auto" w:line="288" w:before="240" w:after="283"/>
        <w:jc w:val="left"/>
        <w:rPr>
          <w:rFonts w:ascii="Times New Roman;serif" w:hAnsi="Times New Roman;serif"/>
          <w:b/>
          <w:color w:val="0A0A0A"/>
          <w:sz w:val="22"/>
        </w:rPr>
      </w:pPr>
      <w:r>
        <w:rPr>
          <w:rFonts w:ascii="Times New Roman;serif" w:hAnsi="Times New Roman;serif"/>
          <w:b/>
          <w:color w:val="0A0A0A"/>
          <w:sz w:val="22"/>
        </w:rPr>
        <w:t>Non-interest Income</w:t>
      </w:r>
    </w:p>
    <w:p>
      <w:pPr>
        <w:pStyle w:val="TextBody"/>
        <w:bidi w:val="0"/>
        <w:spacing w:lineRule="auto" w:line="288" w:before="240" w:after="283"/>
        <w:jc w:val="both"/>
        <w:rPr/>
      </w:pPr>
      <w:r>
        <w:rPr>
          <w:rFonts w:ascii="Times New Roman;serif" w:hAnsi="Times New Roman;serif"/>
          <w:b w:val="false"/>
          <w:color w:val="0A0A0A"/>
          <w:sz w:val="22"/>
        </w:rPr>
        <w:t xml:space="preserve">Non-interest </w:t>
      </w:r>
      <w:r>
        <w:rPr>
          <w:rFonts w:ascii="Times New Roman;serif" w:hAnsi="Times New Roman;serif"/>
          <w:b w:val="false"/>
          <w:color w:val="000000"/>
          <w:sz w:val="22"/>
        </w:rPr>
        <w:t>income for the third quarter of</w:t>
      </w:r>
      <w:r>
        <w:rPr>
          <w:color w:val="000000"/>
        </w:rPr>
        <w:t xml:space="preserve"> </w:t>
      </w:r>
      <w:r>
        <w:rPr>
          <w:rFonts w:ascii="Times New Roman;serif" w:hAnsi="Times New Roman;serif"/>
          <w:b w:val="false"/>
          <w:color w:val="000000"/>
          <w:sz w:val="22"/>
        </w:rPr>
        <w:t>2026 was $5.8 million, a decrease of 9.4% from $6.4 million</w:t>
      </w:r>
      <w:r>
        <w:rPr>
          <w:color w:val="000000"/>
        </w:rPr>
        <w:t xml:space="preserve"> </w:t>
      </w:r>
      <w:r>
        <w:rPr>
          <w:rFonts w:ascii="Times New Roman;serif" w:hAnsi="Times New Roman;serif"/>
          <w:b w:val="false"/>
          <w:color w:val="000000"/>
          <w:sz w:val="22"/>
        </w:rPr>
        <w:t>in the second quarter of 2026. The decrease was primarily driven by decreases in Net gain on mortgage loans and Bank fees, partially offset by an increase in Trust and investment management fees. The decrease in Net gain on mortgage loans was primarily driven by lower origination volume. The decrease in Bank fees was primarily driven by lower prepayment penalty and swap income.</w:t>
      </w:r>
    </w:p>
    <w:p>
      <w:pPr>
        <w:pStyle w:val="TextBody"/>
        <w:bidi w:val="0"/>
        <w:spacing w:lineRule="auto" w:line="288" w:before="240" w:after="283"/>
        <w:jc w:val="both"/>
        <w:rPr/>
      </w:pPr>
      <w:r>
        <w:rPr>
          <w:rFonts w:ascii="Times New Roman;serif" w:hAnsi="Times New Roman;serif"/>
          <w:b w:val="false"/>
          <w:color w:val="0A0A0A"/>
          <w:sz w:val="22"/>
        </w:rPr>
        <w:t xml:space="preserve">Relative to the </w:t>
      </w:r>
      <w:r>
        <w:rPr>
          <w:rFonts w:ascii="Times New Roman;serif" w:hAnsi="Times New Roman;serif"/>
          <w:b w:val="false"/>
          <w:color w:val="000000"/>
          <w:sz w:val="22"/>
        </w:rPr>
        <w:t>third</w:t>
      </w:r>
      <w:r>
        <w:rPr>
          <w:color w:val="0A0A0A"/>
        </w:rPr>
        <w:t xml:space="preserve"> </w:t>
      </w:r>
      <w:r>
        <w:rPr>
          <w:rFonts w:ascii="Times New Roman;serif" w:hAnsi="Times New Roman;serif"/>
          <w:b w:val="false"/>
          <w:color w:val="0A0A0A"/>
          <w:sz w:val="22"/>
        </w:rPr>
        <w:t xml:space="preserve">quarter of </w:t>
      </w:r>
      <w:r>
        <w:rPr>
          <w:rFonts w:ascii="Times New Roman;serif" w:hAnsi="Times New Roman;serif"/>
          <w:b w:val="false"/>
          <w:color w:val="000000"/>
          <w:sz w:val="22"/>
        </w:rPr>
        <w:t>2025</w:t>
      </w:r>
      <w:r>
        <w:rPr>
          <w:rFonts w:ascii="Times New Roman;serif" w:hAnsi="Times New Roman;serif"/>
          <w:b w:val="false"/>
          <w:color w:val="0A0A0A"/>
          <w:sz w:val="22"/>
        </w:rPr>
        <w:t xml:space="preserve">, Non-interest income decreased </w:t>
      </w:r>
      <w:r>
        <w:rPr>
          <w:rFonts w:ascii="Times New Roman;serif" w:hAnsi="Times New Roman;serif"/>
          <w:b w:val="false"/>
          <w:color w:val="000000"/>
          <w:sz w:val="22"/>
        </w:rPr>
        <w:t xml:space="preserve">$1.0 million, </w:t>
      </w:r>
      <w:r>
        <w:rPr>
          <w:rFonts w:ascii="Times New Roman;serif" w:hAnsi="Times New Roman;serif"/>
          <w:b w:val="false"/>
          <w:color w:val="0A0A0A"/>
          <w:sz w:val="22"/>
        </w:rPr>
        <w:t>primarily driven by a decrease in Net gain on mortgage loans primarily driven by lower origination volume.</w:t>
      </w:r>
    </w:p>
    <w:p>
      <w:pPr>
        <w:pStyle w:val="TextBody"/>
        <w:bidi w:val="0"/>
        <w:spacing w:lineRule="auto" w:line="288" w:before="240" w:after="283"/>
        <w:jc w:val="left"/>
        <w:rPr>
          <w:rFonts w:ascii="Times New Roman;serif" w:hAnsi="Times New Roman;serif"/>
          <w:b/>
          <w:color w:val="0A0A0A"/>
          <w:sz w:val="22"/>
        </w:rPr>
      </w:pPr>
      <w:r>
        <w:rPr>
          <w:rFonts w:ascii="Times New Roman;serif" w:hAnsi="Times New Roman;serif"/>
          <w:b/>
          <w:color w:val="0A0A0A"/>
          <w:sz w:val="22"/>
        </w:rPr>
        <w:t>Non-interest Expense</w:t>
      </w:r>
    </w:p>
    <w:p>
      <w:pPr>
        <w:pStyle w:val="TextBody"/>
        <w:bidi w:val="0"/>
        <w:spacing w:lineRule="auto" w:line="288" w:before="240" w:after="283"/>
        <w:jc w:val="both"/>
        <w:rPr/>
      </w:pPr>
      <w:r>
        <w:rPr>
          <w:rFonts w:ascii="Times New Roman;serif" w:hAnsi="Times New Roman;serif"/>
          <w:b w:val="false"/>
          <w:color w:val="0A0A0A"/>
          <w:sz w:val="22"/>
        </w:rPr>
        <w:t xml:space="preserve">Non-interest expense for the </w:t>
      </w:r>
      <w:r>
        <w:rPr>
          <w:rFonts w:ascii="Times New Roman;serif" w:hAnsi="Times New Roman;serif"/>
          <w:b w:val="false"/>
          <w:color w:val="000000"/>
          <w:sz w:val="22"/>
        </w:rPr>
        <w:t>third quarter of</w:t>
      </w:r>
      <w:r>
        <w:rPr>
          <w:color w:val="000000"/>
        </w:rPr>
        <w:t xml:space="preserve"> </w:t>
      </w:r>
      <w:r>
        <w:rPr>
          <w:rFonts w:ascii="Times New Roman;serif" w:hAnsi="Times New Roman;serif"/>
          <w:b w:val="false"/>
          <w:color w:val="000000"/>
          <w:sz w:val="22"/>
        </w:rPr>
        <w:t>2026</w:t>
      </w:r>
      <w:r>
        <w:rPr>
          <w:color w:val="0A0A0A"/>
        </w:rPr>
        <w:t xml:space="preserve"> </w:t>
      </w:r>
      <w:r>
        <w:rPr>
          <w:rFonts w:ascii="Times New Roman;serif" w:hAnsi="Times New Roman;serif"/>
          <w:b w:val="false"/>
          <w:color w:val="0A0A0A"/>
          <w:sz w:val="22"/>
        </w:rPr>
        <w:t xml:space="preserve">was $20.8 million, a </w:t>
      </w:r>
      <w:r>
        <w:rPr>
          <w:rFonts w:ascii="Times New Roman;serif" w:hAnsi="Times New Roman;serif"/>
          <w:b w:val="false"/>
          <w:color w:val="000000"/>
          <w:sz w:val="22"/>
        </w:rPr>
        <w:t>decrease</w:t>
      </w:r>
      <w:r>
        <w:rPr>
          <w:color w:val="0A0A0A"/>
        </w:rPr>
        <w:t xml:space="preserve"> </w:t>
      </w:r>
      <w:r>
        <w:rPr>
          <w:rFonts w:ascii="Times New Roman;serif" w:hAnsi="Times New Roman;serif"/>
          <w:b w:val="false"/>
          <w:color w:val="0A0A0A"/>
          <w:sz w:val="22"/>
        </w:rPr>
        <w:t xml:space="preserve">of </w:t>
      </w:r>
      <w:r>
        <w:rPr>
          <w:rFonts w:ascii="Times New Roman;serif" w:hAnsi="Times New Roman;serif"/>
          <w:b w:val="false"/>
          <w:color w:val="000000"/>
          <w:sz w:val="22"/>
        </w:rPr>
        <w:t>1.9%</w:t>
      </w:r>
      <w:r>
        <w:rPr>
          <w:color w:val="0A0A0A"/>
        </w:rPr>
        <w:t xml:space="preserve"> </w:t>
      </w:r>
      <w:r>
        <w:rPr>
          <w:rFonts w:ascii="Times New Roman;serif" w:hAnsi="Times New Roman;serif"/>
          <w:b w:val="false"/>
          <w:color w:val="0A0A0A"/>
          <w:sz w:val="22"/>
        </w:rPr>
        <w:t xml:space="preserve">from $21.2 million in the </w:t>
      </w:r>
      <w:r>
        <w:rPr>
          <w:rFonts w:ascii="Times New Roman;serif" w:hAnsi="Times New Roman;serif"/>
          <w:b w:val="false"/>
          <w:color w:val="000000"/>
          <w:sz w:val="22"/>
        </w:rPr>
        <w:t>second quarter of 2026</w:t>
      </w:r>
      <w:r>
        <w:rPr>
          <w:rFonts w:ascii="Times New Roman;serif" w:hAnsi="Times New Roman;serif"/>
          <w:b w:val="false"/>
          <w:color w:val="0A0A0A"/>
          <w:sz w:val="22"/>
        </w:rPr>
        <w:t xml:space="preserve">. The </w:t>
      </w:r>
      <w:r>
        <w:rPr>
          <w:rFonts w:ascii="Times New Roman;serif" w:hAnsi="Times New Roman;serif"/>
          <w:b w:val="false"/>
          <w:color w:val="000000"/>
          <w:sz w:val="22"/>
        </w:rPr>
        <w:t>decrease</w:t>
      </w:r>
      <w:r>
        <w:rPr>
          <w:color w:val="0A0A0A"/>
        </w:rPr>
        <w:t xml:space="preserve"> </w:t>
      </w:r>
      <w:r>
        <w:rPr>
          <w:rFonts w:ascii="Times New Roman;serif" w:hAnsi="Times New Roman;serif"/>
          <w:b w:val="false"/>
          <w:color w:val="0A0A0A"/>
          <w:sz w:val="22"/>
        </w:rPr>
        <w:t xml:space="preserve">was primarily driven by reduced Salaries and employee benefits and Technology and information systems, partially offset by an increase in Occupancy and equipment. The decrease in Salaries and employee benefits was primarily driven by reduced employer payroll taxes. The decrease in Technology and information systems was primarily attributable to a $0.4 million nonrecurring charge related to the write-off of certain previously capitalized technology assets recorded in the </w:t>
      </w:r>
      <w:r>
        <w:rPr>
          <w:rFonts w:ascii="Times New Roman;serif" w:hAnsi="Times New Roman;serif"/>
          <w:b w:val="false"/>
          <w:color w:val="000000"/>
          <w:sz w:val="22"/>
        </w:rPr>
        <w:t>second quarter of 2026</w:t>
      </w:r>
      <w:r>
        <w:rPr>
          <w:rFonts w:ascii="Times New Roman;serif" w:hAnsi="Times New Roman;serif"/>
          <w:b w:val="false"/>
          <w:color w:val="0A0A0A"/>
          <w:sz w:val="22"/>
        </w:rPr>
        <w:t>. The increase in Occupancy and equipment was driven by an increase in variable lease costs.</w:t>
      </w:r>
    </w:p>
    <w:p>
      <w:pPr>
        <w:pStyle w:val="TextBody"/>
        <w:bidi w:val="0"/>
        <w:spacing w:lineRule="auto" w:line="288" w:before="240" w:after="283"/>
        <w:jc w:val="both"/>
        <w:rPr/>
      </w:pPr>
      <w:r>
        <w:rPr>
          <w:rFonts w:ascii="Times New Roman;serif" w:hAnsi="Times New Roman;serif"/>
          <w:b w:val="false"/>
          <w:color w:val="0A0A0A"/>
          <w:sz w:val="22"/>
        </w:rPr>
        <w:t xml:space="preserve">Relative to the </w:t>
      </w:r>
      <w:r>
        <w:rPr>
          <w:rFonts w:ascii="Times New Roman;serif" w:hAnsi="Times New Roman;serif"/>
          <w:b w:val="false"/>
          <w:color w:val="000000"/>
          <w:sz w:val="22"/>
        </w:rPr>
        <w:t>third quarter of 2025</w:t>
      </w:r>
      <w:r>
        <w:rPr>
          <w:rFonts w:ascii="Times New Roman;serif" w:hAnsi="Times New Roman;serif"/>
          <w:b w:val="false"/>
          <w:color w:val="0A0A0A"/>
          <w:sz w:val="22"/>
        </w:rPr>
        <w:t xml:space="preserve">, Non-interest expense </w:t>
      </w:r>
      <w:r>
        <w:rPr>
          <w:rFonts w:ascii="Times New Roman;serif" w:hAnsi="Times New Roman;serif"/>
          <w:b w:val="false"/>
          <w:color w:val="000000"/>
          <w:sz w:val="22"/>
        </w:rPr>
        <w:t>increased</w:t>
      </w:r>
      <w:r>
        <w:rPr>
          <w:color w:val="0A0A0A"/>
        </w:rPr>
        <w:t xml:space="preserve"> </w:t>
      </w:r>
      <w:r>
        <w:rPr>
          <w:rFonts w:ascii="Times New Roman;serif" w:hAnsi="Times New Roman;serif"/>
          <w:b w:val="false"/>
          <w:color w:val="000000"/>
          <w:sz w:val="22"/>
        </w:rPr>
        <w:t>3.5%</w:t>
      </w:r>
      <w:r>
        <w:rPr>
          <w:color w:val="0A0A0A"/>
        </w:rPr>
        <w:t xml:space="preserve"> </w:t>
      </w:r>
      <w:r>
        <w:rPr>
          <w:rFonts w:ascii="Times New Roman;serif" w:hAnsi="Times New Roman;serif"/>
          <w:b w:val="false"/>
          <w:color w:val="0A0A0A"/>
          <w:sz w:val="22"/>
        </w:rPr>
        <w:t>from $20.1 million, primarily driven by an increase in Salaries and employee benefits due to an increase in headcount, partially offset by a decrease in bonus accruals.</w:t>
      </w:r>
    </w:p>
    <w:p>
      <w:pPr>
        <w:pStyle w:val="TextBody"/>
        <w:bidi w:val="0"/>
        <w:spacing w:lineRule="auto" w:line="288" w:before="240" w:after="283"/>
        <w:jc w:val="both"/>
        <w:rPr/>
      </w:pPr>
      <w:r>
        <w:rPr>
          <w:rFonts w:ascii="Times New Roman;serif" w:hAnsi="Times New Roman;serif"/>
          <w:b w:val="false"/>
          <w:color w:val="0A0A0A"/>
          <w:sz w:val="22"/>
          <w:shd w:fill="FFFFFF" w:val="clear"/>
        </w:rPr>
        <w:t>The Company’s efficiency ratio</w:t>
      </w:r>
      <w:r>
        <w:rPr>
          <w:rFonts w:ascii="Times New Roman;serif" w:hAnsi="Times New Roman;serif"/>
          <w:b w:val="false"/>
          <w:color w:val="0A0A0A"/>
          <w:sz w:val="14"/>
          <w:shd w:fill="FFFFFF" w:val="clear"/>
        </w:rPr>
        <w:t>(1)</w:t>
      </w:r>
      <w:r>
        <w:rPr>
          <w:color w:val="0A0A0A"/>
          <w:shd w:fill="FFFFFF" w:val="clear"/>
        </w:rPr>
        <w:t xml:space="preserve"> </w:t>
      </w:r>
      <w:r>
        <w:rPr>
          <w:rFonts w:ascii="Times New Roman;serif" w:hAnsi="Times New Roman;serif"/>
          <w:b w:val="false"/>
          <w:color w:val="0A0A0A"/>
          <w:sz w:val="22"/>
          <w:shd w:fill="FFFFFF" w:val="clear"/>
        </w:rPr>
        <w:t>w</w:t>
      </w:r>
      <w:r>
        <w:rPr>
          <w:rFonts w:ascii="Times New Roman;serif" w:hAnsi="Times New Roman;serif"/>
          <w:b w:val="false"/>
          <w:color w:val="0A0A0A"/>
          <w:sz w:val="22"/>
        </w:rPr>
        <w:t xml:space="preserve">as 72.2% in the </w:t>
      </w:r>
      <w:r>
        <w:rPr>
          <w:rFonts w:ascii="Times New Roman;serif" w:hAnsi="Times New Roman;serif"/>
          <w:b w:val="false"/>
          <w:color w:val="000000"/>
          <w:sz w:val="22"/>
        </w:rPr>
        <w:t>third quarter o</w:t>
      </w:r>
      <w:r>
        <w:rPr>
          <w:rFonts w:ascii="Times New Roman;serif" w:hAnsi="Times New Roman;serif"/>
          <w:b w:val="false"/>
          <w:color w:val="000000"/>
          <w:sz w:val="22"/>
          <w:shd w:fill="FFFFFF" w:val="clear"/>
        </w:rPr>
        <w:t>f</w:t>
      </w:r>
      <w:r>
        <w:rPr>
          <w:color w:val="000000"/>
          <w:shd w:fill="FFFFFF" w:val="clear"/>
        </w:rPr>
        <w:t xml:space="preserve"> </w:t>
      </w:r>
      <w:r>
        <w:rPr>
          <w:rFonts w:ascii="Times New Roman;serif" w:hAnsi="Times New Roman;serif"/>
          <w:b w:val="false"/>
          <w:color w:val="000000"/>
          <w:sz w:val="22"/>
          <w:shd w:fill="FFFFFF" w:val="clear"/>
        </w:rPr>
        <w:t>2026</w:t>
      </w:r>
      <w:r>
        <w:rPr>
          <w:rFonts w:ascii="Times New Roman;serif" w:hAnsi="Times New Roman;serif"/>
          <w:b w:val="false"/>
          <w:color w:val="0A0A0A"/>
          <w:sz w:val="22"/>
          <w:shd w:fill="FFFFFF" w:val="clear"/>
        </w:rPr>
        <w:t>, compared to</w:t>
      </w:r>
      <w:r>
        <w:rPr>
          <w:color w:val="0A0A0A"/>
        </w:rPr>
        <w:t xml:space="preserve"> </w:t>
      </w:r>
      <w:r>
        <w:rPr>
          <w:rFonts w:ascii="Times New Roman;serif" w:hAnsi="Times New Roman;serif"/>
          <w:b w:val="false"/>
          <w:color w:val="0A0A0A"/>
          <w:sz w:val="22"/>
        </w:rPr>
        <w:t>74.0% i</w:t>
      </w:r>
      <w:r>
        <w:rPr>
          <w:rFonts w:ascii="Times New Roman;serif" w:hAnsi="Times New Roman;serif"/>
          <w:b w:val="false"/>
          <w:color w:val="0A0A0A"/>
          <w:sz w:val="22"/>
          <w:shd w:fill="FFFFFF" w:val="clear"/>
        </w:rPr>
        <w:t xml:space="preserve">n the </w:t>
      </w:r>
      <w:r>
        <w:rPr>
          <w:rFonts w:ascii="Times New Roman;serif" w:hAnsi="Times New Roman;serif"/>
          <w:b w:val="false"/>
          <w:color w:val="000000"/>
          <w:sz w:val="22"/>
          <w:shd w:fill="FFFFFF" w:val="clear"/>
        </w:rPr>
        <w:t>second</w:t>
      </w:r>
      <w:r>
        <w:rPr>
          <w:color w:val="000000"/>
        </w:rPr>
        <w:t xml:space="preserve"> </w:t>
      </w:r>
      <w:r>
        <w:rPr>
          <w:rFonts w:ascii="Times New Roman;serif" w:hAnsi="Times New Roman;serif"/>
          <w:b w:val="false"/>
          <w:color w:val="000000"/>
          <w:sz w:val="22"/>
        </w:rPr>
        <w:t>q</w:t>
      </w:r>
      <w:r>
        <w:rPr>
          <w:rFonts w:ascii="Times New Roman;serif" w:hAnsi="Times New Roman;serif"/>
          <w:b w:val="false"/>
          <w:color w:val="000000"/>
          <w:sz w:val="22"/>
          <w:shd w:fill="FFFFFF" w:val="clear"/>
        </w:rPr>
        <w:t>uarter of 2026</w:t>
      </w:r>
      <w:r>
        <w:rPr>
          <w:color w:val="0A0A0A"/>
          <w:shd w:fill="FFFFFF" w:val="clear"/>
        </w:rPr>
        <w:t xml:space="preserve"> </w:t>
      </w:r>
      <w:r>
        <w:rPr>
          <w:rFonts w:ascii="Times New Roman;serif" w:hAnsi="Times New Roman;serif"/>
          <w:b w:val="false"/>
          <w:color w:val="0A0A0A"/>
          <w:sz w:val="22"/>
          <w:shd w:fill="FFFFFF" w:val="clear"/>
        </w:rPr>
        <w:t>and</w:t>
      </w:r>
      <w:r>
        <w:rPr>
          <w:color w:val="0A0A0A"/>
        </w:rPr>
        <w:t xml:space="preserve"> </w:t>
      </w:r>
      <w:r>
        <w:rPr>
          <w:rFonts w:ascii="Times New Roman;serif" w:hAnsi="Times New Roman;serif"/>
          <w:b w:val="false"/>
          <w:color w:val="0A0A0A"/>
          <w:sz w:val="22"/>
        </w:rPr>
        <w:t xml:space="preserve">76.4% in </w:t>
      </w:r>
      <w:r>
        <w:rPr>
          <w:rFonts w:ascii="Times New Roman;serif" w:hAnsi="Times New Roman;serif"/>
          <w:b w:val="false"/>
          <w:color w:val="0A0A0A"/>
          <w:sz w:val="22"/>
          <w:shd w:fill="FFFFFF" w:val="clear"/>
        </w:rPr>
        <w:t xml:space="preserve">the </w:t>
      </w:r>
      <w:r>
        <w:rPr>
          <w:rFonts w:ascii="Times New Roman;serif" w:hAnsi="Times New Roman;serif"/>
          <w:b w:val="false"/>
          <w:color w:val="000000"/>
          <w:sz w:val="22"/>
          <w:shd w:fill="FFFFFF" w:val="clear"/>
        </w:rPr>
        <w:t>third quarter of 2025</w:t>
      </w:r>
      <w:r>
        <w:rPr>
          <w:rFonts w:ascii="Times New Roman;serif" w:hAnsi="Times New Roman;serif"/>
          <w:b w:val="false"/>
          <w:color w:val="0A0A0A"/>
          <w:sz w:val="22"/>
          <w:shd w:fill="FFFFFF" w:val="clear"/>
        </w:rPr>
        <w:t xml:space="preserve">. </w:t>
      </w:r>
    </w:p>
    <w:p>
      <w:pPr>
        <w:pStyle w:val="TextBody"/>
        <w:bidi w:val="0"/>
        <w:spacing w:lineRule="auto" w:line="288" w:before="240" w:after="283"/>
        <w:ind w:left="0" w:right="0" w:hanging="180"/>
        <w:jc w:val="both"/>
        <w:rPr/>
      </w:pPr>
      <w:r>
        <w:rPr>
          <w:rFonts w:ascii="Times New Roman;serif" w:hAnsi="Times New Roman;serif"/>
          <w:b w:val="false"/>
          <w:color w:val="000000"/>
          <w:sz w:val="10"/>
          <w:shd w:fill="FFFFFF" w:val="clear"/>
        </w:rPr>
        <w:t>(1)</w:t>
      </w:r>
      <w:r>
        <w:rPr>
          <w:color w:val="000000"/>
          <w:shd w:fill="FFFFFF" w:val="clear"/>
        </w:rPr>
        <w:t xml:space="preserve"> </w:t>
      </w:r>
      <w:r>
        <w:rPr>
          <w:rFonts w:ascii="Times New Roman;serif" w:hAnsi="Times New Roman;serif"/>
          <w:b w:val="false"/>
          <w:color w:val="000000"/>
          <w:sz w:val="16"/>
          <w:shd w:fill="FFFFFF" w:val="clear"/>
        </w:rPr>
        <w:t xml:space="preserve">Represents a Non-GAAP financial measure. See “Reconciliations of Non-GAAP Financial Measures” for a reconciliation of our Non-GAAP measures </w:t>
      </w:r>
      <w:r>
        <w:rPr>
          <w:rFonts w:ascii="Times New Roman;serif" w:hAnsi="Times New Roman;serif"/>
          <w:b w:val="false"/>
          <w:color w:val="000000"/>
          <w:sz w:val="16"/>
        </w:rPr>
        <w:t>to the most directly comparable GAAP financial measure.</w:t>
      </w:r>
    </w:p>
    <w:p>
      <w:pPr>
        <w:pStyle w:val="TextBody"/>
        <w:bidi w:val="0"/>
        <w:spacing w:lineRule="auto" w:line="288" w:before="240" w:after="283"/>
        <w:jc w:val="left"/>
        <w:rPr>
          <w:rFonts w:ascii="Times New Roman;serif" w:hAnsi="Times New Roman;serif"/>
          <w:b/>
          <w:color w:val="0A0A0A"/>
          <w:sz w:val="22"/>
        </w:rPr>
      </w:pPr>
      <w:r>
        <w:rPr>
          <w:rFonts w:ascii="Times New Roman;serif" w:hAnsi="Times New Roman;serif"/>
          <w:b/>
          <w:color w:val="0A0A0A"/>
          <w:sz w:val="22"/>
        </w:rPr>
        <w:t>Income Taxes</w:t>
      </w:r>
    </w:p>
    <w:p>
      <w:pPr>
        <w:pStyle w:val="TextBody"/>
        <w:bidi w:val="0"/>
        <w:spacing w:lineRule="auto" w:line="288" w:before="240" w:after="283"/>
        <w:jc w:val="both"/>
        <w:rPr/>
      </w:pPr>
      <w:r>
        <w:rPr>
          <w:rFonts w:ascii="Times New Roman;serif" w:hAnsi="Times New Roman;serif"/>
          <w:b w:val="false"/>
          <w:color w:val="0A0A0A"/>
          <w:sz w:val="22"/>
        </w:rPr>
        <w:t xml:space="preserve">The Company recorded Income tax expense of $1.3 million for the </w:t>
      </w:r>
      <w:r>
        <w:rPr>
          <w:rFonts w:ascii="Times New Roman;serif" w:hAnsi="Times New Roman;serif"/>
          <w:b w:val="false"/>
          <w:color w:val="000000"/>
          <w:sz w:val="22"/>
        </w:rPr>
        <w:t>third quarter of</w:t>
      </w:r>
      <w:r>
        <w:rPr>
          <w:color w:val="000000"/>
        </w:rPr>
        <w:t xml:space="preserve"> </w:t>
      </w:r>
      <w:r>
        <w:rPr>
          <w:rFonts w:ascii="Times New Roman;serif" w:hAnsi="Times New Roman;serif"/>
          <w:b w:val="false"/>
          <w:color w:val="000000"/>
          <w:sz w:val="22"/>
        </w:rPr>
        <w:t>2026</w:t>
      </w:r>
      <w:r>
        <w:rPr>
          <w:rFonts w:ascii="Times New Roman;serif" w:hAnsi="Times New Roman;serif"/>
          <w:b w:val="false"/>
          <w:color w:val="0A0A0A"/>
          <w:sz w:val="22"/>
        </w:rPr>
        <w:t xml:space="preserve">, compared to $1.7 million for the </w:t>
      </w:r>
      <w:r>
        <w:rPr>
          <w:rFonts w:ascii="Times New Roman;serif" w:hAnsi="Times New Roman;serif"/>
          <w:b w:val="false"/>
          <w:color w:val="000000"/>
          <w:sz w:val="22"/>
        </w:rPr>
        <w:t>second quarter of 2026,</w:t>
      </w:r>
      <w:r>
        <w:rPr>
          <w:color w:val="0A0A0A"/>
        </w:rPr>
        <w:t xml:space="preserve"> </w:t>
      </w:r>
      <w:r>
        <w:rPr>
          <w:rFonts w:ascii="Times New Roman;serif" w:hAnsi="Times New Roman;serif"/>
          <w:b w:val="false"/>
          <w:color w:val="0A0A0A"/>
          <w:sz w:val="22"/>
        </w:rPr>
        <w:t xml:space="preserve">and $0.8 million for the </w:t>
      </w:r>
      <w:r>
        <w:rPr>
          <w:rFonts w:ascii="Times New Roman;serif" w:hAnsi="Times New Roman;serif"/>
          <w:b w:val="false"/>
          <w:color w:val="000000"/>
          <w:sz w:val="22"/>
        </w:rPr>
        <w:t>third quarter of 2025</w:t>
      </w:r>
      <w:r>
        <w:rPr>
          <w:rFonts w:ascii="Times New Roman;serif" w:hAnsi="Times New Roman;serif"/>
          <w:b w:val="false"/>
          <w:color w:val="0A0A0A"/>
          <w:sz w:val="22"/>
        </w:rPr>
        <w:t xml:space="preserve">. Relative to the </w:t>
      </w:r>
      <w:r>
        <w:rPr>
          <w:rFonts w:ascii="Times New Roman;serif" w:hAnsi="Times New Roman;serif"/>
          <w:b w:val="false"/>
          <w:color w:val="000000"/>
          <w:sz w:val="22"/>
        </w:rPr>
        <w:t xml:space="preserve">second quarter of 2026, tax expense decreased </w:t>
      </w:r>
      <w:r>
        <w:rPr>
          <w:rFonts w:ascii="Times New Roman;serif" w:hAnsi="Times New Roman;serif"/>
          <w:b w:val="false"/>
          <w:color w:val="0A0A0A"/>
          <w:sz w:val="22"/>
        </w:rPr>
        <w:t xml:space="preserve">$0.4 million primarily due to a $0.4 million benefit from a clean fuel tax credit purchased during the </w:t>
      </w:r>
      <w:r>
        <w:rPr>
          <w:rFonts w:ascii="Times New Roman;serif" w:hAnsi="Times New Roman;serif"/>
          <w:b w:val="false"/>
          <w:color w:val="000000"/>
          <w:sz w:val="22"/>
        </w:rPr>
        <w:t>third quarter of</w:t>
      </w:r>
      <w:r>
        <w:rPr>
          <w:color w:val="000000"/>
        </w:rPr>
        <w:t xml:space="preserve"> </w:t>
      </w:r>
      <w:r>
        <w:rPr>
          <w:rFonts w:ascii="Times New Roman;serif" w:hAnsi="Times New Roman;serif"/>
          <w:b w:val="false"/>
          <w:color w:val="000000"/>
          <w:sz w:val="22"/>
        </w:rPr>
        <w:t>2026</w:t>
      </w:r>
      <w:r>
        <w:rPr>
          <w:rFonts w:ascii="Times New Roman;serif" w:hAnsi="Times New Roman;serif"/>
          <w:b w:val="false"/>
          <w:color w:val="0A0A0A"/>
          <w:sz w:val="22"/>
        </w:rPr>
        <w:t>.</w:t>
      </w:r>
    </w:p>
    <w:p>
      <w:pPr>
        <w:pStyle w:val="TextBody"/>
        <w:bidi w:val="0"/>
        <w:spacing w:lineRule="auto" w:line="288" w:before="240" w:after="283"/>
        <w:jc w:val="left"/>
        <w:rPr>
          <w:rFonts w:ascii="Times New Roman;serif" w:hAnsi="Times New Roman;serif"/>
          <w:b/>
          <w:color w:val="0A0A0A"/>
          <w:sz w:val="22"/>
        </w:rPr>
      </w:pPr>
      <w:r>
        <w:rPr>
          <w:rFonts w:ascii="Times New Roman;serif" w:hAnsi="Times New Roman;serif"/>
          <w:b/>
          <w:color w:val="0A0A0A"/>
          <w:sz w:val="22"/>
        </w:rPr>
        <w:t>Loans</w:t>
      </w:r>
    </w:p>
    <w:p>
      <w:pPr>
        <w:pStyle w:val="TextBody"/>
        <w:bidi w:val="0"/>
        <w:spacing w:lineRule="auto" w:line="288" w:before="240" w:after="283"/>
        <w:jc w:val="both"/>
        <w:rPr/>
      </w:pPr>
      <w:r>
        <w:rPr>
          <w:rFonts w:ascii="Times New Roman;serif" w:hAnsi="Times New Roman;serif"/>
          <w:b w:val="false"/>
          <w:color w:val="0A0A0A"/>
          <w:sz w:val="22"/>
        </w:rPr>
        <w:t>Total loans held for investment were</w:t>
      </w:r>
      <w:r>
        <w:rPr>
          <w:color w:val="000000"/>
        </w:rPr>
        <w:t xml:space="preserve"> </w:t>
      </w:r>
      <w:r>
        <w:rPr>
          <w:rFonts w:ascii="Times New Roman;serif" w:hAnsi="Times New Roman;serif"/>
          <w:b w:val="false"/>
          <w:color w:val="0A0A0A"/>
          <w:sz w:val="22"/>
        </w:rPr>
        <w:t xml:space="preserve">$2.81 billion as of </w:t>
      </w:r>
      <w:r>
        <w:rPr>
          <w:rFonts w:ascii="Times New Roman;serif" w:hAnsi="Times New Roman;serif"/>
          <w:b w:val="false"/>
          <w:color w:val="000000"/>
          <w:sz w:val="22"/>
        </w:rPr>
        <w:t xml:space="preserve">September 30, 2026, an increase of </w:t>
      </w:r>
      <w:r>
        <w:rPr>
          <w:rFonts w:ascii="Times New Roman;serif" w:hAnsi="Times New Roman;serif"/>
          <w:b w:val="false"/>
          <w:color w:val="0A0A0A"/>
          <w:sz w:val="22"/>
        </w:rPr>
        <w:t>$95.0 million</w:t>
      </w:r>
      <w:r>
        <w:rPr>
          <w:rFonts w:ascii="Times New Roman;serif" w:hAnsi="Times New Roman;serif"/>
          <w:b w:val="false"/>
          <w:color w:val="000000"/>
          <w:sz w:val="22"/>
        </w:rPr>
        <w:t xml:space="preserve">, or </w:t>
      </w:r>
      <w:r>
        <w:rPr>
          <w:rFonts w:ascii="Times New Roman;serif" w:hAnsi="Times New Roman;serif"/>
          <w:b w:val="false"/>
          <w:color w:val="0A0A0A"/>
          <w:sz w:val="22"/>
        </w:rPr>
        <w:t>3.5%</w:t>
      </w:r>
      <w:r>
        <w:rPr>
          <w:rFonts w:ascii="Times New Roman;serif" w:hAnsi="Times New Roman;serif"/>
          <w:b w:val="false"/>
          <w:color w:val="000000"/>
          <w:sz w:val="22"/>
        </w:rPr>
        <w:t xml:space="preserve">, from </w:t>
      </w:r>
      <w:r>
        <w:rPr>
          <w:rFonts w:ascii="Times New Roman;serif" w:hAnsi="Times New Roman;serif"/>
          <w:b w:val="false"/>
          <w:color w:val="0A0A0A"/>
          <w:sz w:val="22"/>
        </w:rPr>
        <w:t xml:space="preserve">$2.72 billion </w:t>
      </w:r>
      <w:r>
        <w:rPr>
          <w:rFonts w:ascii="Times New Roman;serif" w:hAnsi="Times New Roman;serif"/>
          <w:b w:val="false"/>
          <w:color w:val="000000"/>
          <w:sz w:val="22"/>
        </w:rPr>
        <w:t xml:space="preserve">as of </w:t>
      </w:r>
      <w:r>
        <w:rPr>
          <w:rFonts w:ascii="Times New Roman;serif" w:hAnsi="Times New Roman;serif"/>
          <w:b w:val="false"/>
          <w:color w:val="0A0A0A"/>
          <w:sz w:val="22"/>
        </w:rPr>
        <w:t xml:space="preserve">June 30, 2026. Changes in the quarter included growth in the 1-4 family residential and Commercial and industrial portfolios. Relative to the </w:t>
      </w:r>
      <w:r>
        <w:rPr>
          <w:rFonts w:ascii="Times New Roman;serif" w:hAnsi="Times New Roman;serif"/>
          <w:b w:val="false"/>
          <w:color w:val="000000"/>
          <w:sz w:val="22"/>
        </w:rPr>
        <w:t>third quarter of 2025</w:t>
      </w:r>
      <w:r>
        <w:rPr>
          <w:rFonts w:ascii="Times New Roman;serif" w:hAnsi="Times New Roman;serif"/>
          <w:b w:val="false"/>
          <w:color w:val="0A0A0A"/>
          <w:sz w:val="22"/>
        </w:rPr>
        <w:t xml:space="preserve">, total loans held for investment </w:t>
      </w:r>
      <w:r>
        <w:rPr>
          <w:rFonts w:ascii="Times New Roman;serif" w:hAnsi="Times New Roman;serif"/>
          <w:b w:val="false"/>
          <w:color w:val="000000"/>
          <w:sz w:val="22"/>
        </w:rPr>
        <w:t>increased</w:t>
      </w:r>
      <w:r>
        <w:rPr>
          <w:color w:val="0A0A0A"/>
        </w:rPr>
        <w:t xml:space="preserve"> </w:t>
      </w:r>
      <w:r>
        <w:rPr>
          <w:rFonts w:ascii="Times New Roman;serif" w:hAnsi="Times New Roman;serif"/>
          <w:b w:val="false"/>
          <w:color w:val="0A0A0A"/>
          <w:sz w:val="22"/>
        </w:rPr>
        <w:t xml:space="preserve">8.4% from $2.59 billion as of </w:t>
      </w:r>
      <w:r>
        <w:rPr>
          <w:rFonts w:ascii="Times New Roman;serif" w:hAnsi="Times New Roman;serif"/>
          <w:b w:val="false"/>
          <w:color w:val="000000"/>
          <w:sz w:val="22"/>
        </w:rPr>
        <w:t xml:space="preserve">September 30, 2025, primarily driven by </w:t>
      </w:r>
      <w:r>
        <w:rPr>
          <w:rFonts w:ascii="Times New Roman;serif" w:hAnsi="Times New Roman;serif"/>
          <w:b w:val="false"/>
          <w:color w:val="0A0A0A"/>
          <w:sz w:val="22"/>
        </w:rPr>
        <w:t xml:space="preserve">growth in 1-4 family residential, Commercial and industrial, Owner occupied commercial real estate and Non-owner occupied commercial real estate </w:t>
      </w:r>
      <w:r>
        <w:rPr>
          <w:rFonts w:ascii="Times New Roman;serif" w:hAnsi="Times New Roman;serif"/>
          <w:b w:val="false"/>
          <w:color w:val="000000"/>
          <w:sz w:val="22"/>
        </w:rPr>
        <w:t>portfolio.</w:t>
      </w: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240" w:after="283"/>
        <w:jc w:val="both"/>
        <w:rPr>
          <w:rFonts w:ascii="Times New Roman;serif" w:hAnsi="Times New Roman;serif"/>
          <w:b/>
          <w:color w:val="0A0A0A"/>
          <w:sz w:val="22"/>
        </w:rPr>
      </w:pPr>
      <w:r>
        <w:rPr>
          <w:rFonts w:ascii="Times New Roman;serif" w:hAnsi="Times New Roman;serif"/>
          <w:b/>
          <w:color w:val="0A0A0A"/>
          <w:sz w:val="22"/>
        </w:rPr>
        <w:t>Deposits</w:t>
      </w:r>
    </w:p>
    <w:p>
      <w:pPr>
        <w:pStyle w:val="TextBody"/>
        <w:bidi w:val="0"/>
        <w:spacing w:lineRule="auto" w:line="288" w:before="240" w:after="283"/>
        <w:jc w:val="both"/>
        <w:rPr/>
      </w:pPr>
      <w:r>
        <w:rPr>
          <w:rFonts w:ascii="Times New Roman;serif" w:hAnsi="Times New Roman;serif"/>
          <w:b w:val="false"/>
          <w:color w:val="0A0A0A"/>
          <w:sz w:val="22"/>
        </w:rPr>
        <w:t xml:space="preserve">Total deposits were $2.92 billion as of September 30, 2026, an increase of </w:t>
      </w:r>
      <w:r>
        <w:rPr>
          <w:rFonts w:ascii="Times New Roman;serif" w:hAnsi="Times New Roman;serif"/>
          <w:b w:val="false"/>
          <w:color w:val="000000"/>
          <w:sz w:val="22"/>
        </w:rPr>
        <w:t xml:space="preserve">2.5%, </w:t>
      </w:r>
      <w:r>
        <w:rPr>
          <w:rFonts w:ascii="Times New Roman;serif" w:hAnsi="Times New Roman;serif"/>
          <w:b w:val="false"/>
          <w:color w:val="0A0A0A"/>
          <w:sz w:val="22"/>
        </w:rPr>
        <w:t>from $2.85 billion as of June 30, 2026</w:t>
      </w:r>
      <w:r>
        <w:rPr>
          <w:rFonts w:ascii="Times New Roman;serif" w:hAnsi="Times New Roman;serif"/>
          <w:b w:val="false"/>
          <w:color w:val="000000"/>
          <w:sz w:val="22"/>
        </w:rPr>
        <w:t>.</w:t>
      </w:r>
      <w:r>
        <w:rPr>
          <w:color w:val="0A0A0A"/>
        </w:rPr>
        <w:t xml:space="preserve"> </w:t>
      </w:r>
      <w:r>
        <w:rPr>
          <w:rFonts w:ascii="Times New Roman;serif" w:hAnsi="Times New Roman;serif"/>
          <w:b w:val="false"/>
          <w:color w:val="0A0A0A"/>
          <w:sz w:val="22"/>
        </w:rPr>
        <w:t xml:space="preserve">Relative to the </w:t>
      </w:r>
      <w:r>
        <w:rPr>
          <w:rFonts w:ascii="Times New Roman;serif" w:hAnsi="Times New Roman;serif"/>
          <w:b w:val="false"/>
          <w:color w:val="000000"/>
          <w:sz w:val="22"/>
        </w:rPr>
        <w:t>third quarter of 2025</w:t>
      </w:r>
      <w:r>
        <w:rPr>
          <w:rFonts w:ascii="Times New Roman;serif" w:hAnsi="Times New Roman;serif"/>
          <w:b w:val="false"/>
          <w:color w:val="0A0A0A"/>
          <w:sz w:val="22"/>
        </w:rPr>
        <w:t xml:space="preserve">, Total deposits </w:t>
      </w:r>
      <w:r>
        <w:rPr>
          <w:rFonts w:ascii="Times New Roman;serif" w:hAnsi="Times New Roman;serif"/>
          <w:b w:val="false"/>
          <w:color w:val="000000"/>
          <w:sz w:val="22"/>
        </w:rPr>
        <w:t>increased</w:t>
      </w:r>
      <w:r>
        <w:rPr>
          <w:color w:val="0A0A0A"/>
        </w:rPr>
        <w:t xml:space="preserve"> </w:t>
      </w:r>
      <w:r>
        <w:rPr>
          <w:rFonts w:ascii="Times New Roman;serif" w:hAnsi="Times New Roman;serif"/>
          <w:b w:val="false"/>
          <w:color w:val="0A0A0A"/>
          <w:sz w:val="22"/>
        </w:rPr>
        <w:t>2.5% from $2.85 billion. The increase over both periods was primarily driven by increases in Noninterest-bearing accounts and money market deposit accounts.</w:t>
      </w:r>
    </w:p>
    <w:p>
      <w:pPr>
        <w:pStyle w:val="TextBody"/>
        <w:bidi w:val="0"/>
        <w:spacing w:lineRule="auto" w:line="288" w:before="240" w:after="283"/>
        <w:jc w:val="left"/>
        <w:rPr>
          <w:rFonts w:ascii="Times New Roman;serif" w:hAnsi="Times New Roman;serif"/>
          <w:b/>
          <w:color w:val="0A0A0A"/>
          <w:sz w:val="22"/>
        </w:rPr>
      </w:pPr>
      <w:r>
        <w:rPr>
          <w:rFonts w:ascii="Times New Roman;serif" w:hAnsi="Times New Roman;serif"/>
          <w:b/>
          <w:color w:val="0A0A0A"/>
          <w:sz w:val="22"/>
        </w:rPr>
        <w:t>Borrowings</w:t>
      </w:r>
    </w:p>
    <w:p>
      <w:pPr>
        <w:pStyle w:val="TextBody"/>
        <w:bidi w:val="0"/>
        <w:spacing w:lineRule="auto" w:line="288" w:before="240" w:after="283"/>
        <w:jc w:val="both"/>
        <w:rPr/>
      </w:pPr>
      <w:r>
        <w:rPr>
          <w:rFonts w:ascii="Times New Roman;serif" w:hAnsi="Times New Roman;serif"/>
          <w:b w:val="false"/>
          <w:color w:val="0A0A0A"/>
          <w:sz w:val="22"/>
        </w:rPr>
        <w:t xml:space="preserve">Federal Home Loan Bank (“FHLB”) borrowings were $150.9 million as of </w:t>
      </w:r>
      <w:r>
        <w:rPr>
          <w:rFonts w:ascii="Times New Roman;serif" w:hAnsi="Times New Roman;serif"/>
          <w:b w:val="false"/>
          <w:color w:val="000000"/>
          <w:sz w:val="22"/>
        </w:rPr>
        <w:t>September 30, 2026</w:t>
      </w:r>
      <w:r>
        <w:rPr>
          <w:rFonts w:ascii="Times New Roman;serif" w:hAnsi="Times New Roman;serif"/>
          <w:b w:val="false"/>
          <w:color w:val="0A0A0A"/>
          <w:sz w:val="22"/>
        </w:rPr>
        <w:t xml:space="preserve">, an </w:t>
      </w:r>
      <w:r>
        <w:rPr>
          <w:rFonts w:ascii="Times New Roman;serif" w:hAnsi="Times New Roman;serif"/>
          <w:b w:val="false"/>
          <w:color w:val="000000"/>
          <w:sz w:val="22"/>
        </w:rPr>
        <w:t>increase</w:t>
      </w:r>
      <w:r>
        <w:rPr>
          <w:color w:val="0A0A0A"/>
        </w:rPr>
        <w:t xml:space="preserve"> </w:t>
      </w:r>
      <w:r>
        <w:rPr>
          <w:rFonts w:ascii="Times New Roman;serif" w:hAnsi="Times New Roman;serif"/>
          <w:b w:val="false"/>
          <w:color w:val="0A0A0A"/>
          <w:sz w:val="22"/>
        </w:rPr>
        <w:t xml:space="preserve">of </w:t>
      </w:r>
      <w:r>
        <w:rPr>
          <w:rFonts w:ascii="Times New Roman;serif" w:hAnsi="Times New Roman;serif"/>
          <w:b w:val="false"/>
          <w:color w:val="000000"/>
          <w:sz w:val="22"/>
        </w:rPr>
        <w:t>$114.5 million</w:t>
      </w:r>
      <w:r>
        <w:rPr>
          <w:color w:val="0A0A0A"/>
        </w:rPr>
        <w:t xml:space="preserve"> </w:t>
      </w:r>
      <w:r>
        <w:rPr>
          <w:rFonts w:ascii="Times New Roman;serif" w:hAnsi="Times New Roman;serif"/>
          <w:b w:val="false"/>
          <w:color w:val="0A0A0A"/>
          <w:sz w:val="22"/>
        </w:rPr>
        <w:t xml:space="preserve">from $36.4 million as of June 30, 2026. </w:t>
      </w:r>
      <w:r>
        <w:rPr>
          <w:rFonts w:ascii="Times New Roman;serif" w:hAnsi="Times New Roman;serif"/>
          <w:b w:val="false"/>
          <w:color w:val="000000"/>
          <w:sz w:val="22"/>
        </w:rPr>
        <w:t>The increase when compared to June 30, 2026</w:t>
      </w:r>
      <w:r>
        <w:rPr>
          <w:color w:val="0A0A0A"/>
        </w:rPr>
        <w:t xml:space="preserve"> </w:t>
      </w:r>
      <w:r>
        <w:rPr>
          <w:rFonts w:ascii="Times New Roman;serif" w:hAnsi="Times New Roman;serif"/>
          <w:b w:val="false"/>
          <w:color w:val="0A0A0A"/>
          <w:sz w:val="22"/>
        </w:rPr>
        <w:t>was primarily driven by interest-earning asset growth</w:t>
      </w:r>
      <w:r>
        <w:rPr>
          <w:rFonts w:ascii="Times New Roman;serif" w:hAnsi="Times New Roman;serif"/>
          <w:b w:val="false"/>
          <w:color w:val="000000"/>
          <w:sz w:val="22"/>
        </w:rPr>
        <w:t>. Rela</w:t>
      </w:r>
      <w:r>
        <w:rPr>
          <w:rFonts w:ascii="Times New Roman;serif" w:hAnsi="Times New Roman;serif"/>
          <w:b w:val="false"/>
          <w:color w:val="0A0A0A"/>
          <w:sz w:val="22"/>
        </w:rPr>
        <w:t xml:space="preserve">tive to the </w:t>
      </w:r>
      <w:r>
        <w:rPr>
          <w:rFonts w:ascii="Times New Roman;serif" w:hAnsi="Times New Roman;serif"/>
          <w:b w:val="false"/>
          <w:color w:val="000000"/>
          <w:sz w:val="22"/>
        </w:rPr>
        <w:t>third quarter of 2025</w:t>
      </w:r>
      <w:r>
        <w:rPr>
          <w:rFonts w:ascii="Times New Roman;serif" w:hAnsi="Times New Roman;serif"/>
          <w:b w:val="false"/>
          <w:color w:val="0A0A0A"/>
          <w:sz w:val="22"/>
        </w:rPr>
        <w:t xml:space="preserve">, borrowings </w:t>
      </w:r>
      <w:r>
        <w:rPr>
          <w:rFonts w:ascii="Times New Roman;serif" w:hAnsi="Times New Roman;serif"/>
          <w:b w:val="false"/>
          <w:color w:val="000000"/>
          <w:sz w:val="22"/>
        </w:rPr>
        <w:t>increased</w:t>
      </w:r>
      <w:r>
        <w:rPr>
          <w:color w:val="0A0A0A"/>
        </w:rPr>
        <w:t xml:space="preserve"> </w:t>
      </w:r>
      <w:r>
        <w:rPr>
          <w:rFonts w:ascii="Times New Roman;serif" w:hAnsi="Times New Roman;serif"/>
          <w:b w:val="false"/>
          <w:color w:val="0A0A0A"/>
          <w:sz w:val="22"/>
        </w:rPr>
        <w:t>$100.0 million from $50.9 million</w:t>
      </w:r>
      <w:r>
        <w:rPr>
          <w:rFonts w:ascii="Times New Roman;serif" w:hAnsi="Times New Roman;serif"/>
          <w:b w:val="false"/>
          <w:color w:val="000000"/>
          <w:sz w:val="22"/>
        </w:rPr>
        <w:t xml:space="preserve">, driven </w:t>
      </w:r>
      <w:r>
        <w:rPr>
          <w:rFonts w:ascii="Times New Roman;serif" w:hAnsi="Times New Roman;serif"/>
          <w:b w:val="false"/>
          <w:color w:val="0A0A0A"/>
          <w:sz w:val="22"/>
        </w:rPr>
        <w:t>by interest-earning asset growth</w:t>
      </w:r>
      <w:r>
        <w:rPr>
          <w:rFonts w:ascii="Times New Roman;serif" w:hAnsi="Times New Roman;serif"/>
          <w:b w:val="false"/>
          <w:color w:val="000000"/>
          <w:sz w:val="22"/>
        </w:rPr>
        <w:t>.</w:t>
      </w:r>
    </w:p>
    <w:p>
      <w:pPr>
        <w:pStyle w:val="TextBody"/>
        <w:bidi w:val="0"/>
        <w:spacing w:lineRule="auto" w:line="288" w:before="240" w:after="283"/>
        <w:jc w:val="both"/>
        <w:rPr/>
      </w:pPr>
      <w:r>
        <w:rPr>
          <w:rFonts w:ascii="Times New Roman;serif" w:hAnsi="Times New Roman;serif"/>
          <w:b w:val="false"/>
          <w:color w:val="0A0A0A"/>
          <w:sz w:val="22"/>
        </w:rPr>
        <w:t xml:space="preserve">Subordinated notes were $34.9 million as of </w:t>
      </w:r>
      <w:r>
        <w:rPr>
          <w:rFonts w:ascii="Times New Roman;serif" w:hAnsi="Times New Roman;serif"/>
          <w:b w:val="false"/>
          <w:color w:val="000000"/>
          <w:sz w:val="22"/>
        </w:rPr>
        <w:t xml:space="preserve">September 30, 2026, compared to </w:t>
      </w:r>
      <w:r>
        <w:rPr>
          <w:rFonts w:ascii="Times New Roman;serif" w:hAnsi="Times New Roman;serif"/>
          <w:b w:val="false"/>
          <w:color w:val="0A0A0A"/>
          <w:sz w:val="22"/>
        </w:rPr>
        <w:t xml:space="preserve">$44.8 million </w:t>
      </w:r>
      <w:r>
        <w:rPr>
          <w:rFonts w:ascii="Times New Roman;serif" w:hAnsi="Times New Roman;serif"/>
          <w:b w:val="false"/>
          <w:color w:val="000000"/>
          <w:sz w:val="22"/>
        </w:rPr>
        <w:t xml:space="preserve">as of </w:t>
      </w:r>
      <w:r>
        <w:rPr>
          <w:rFonts w:ascii="Times New Roman;serif" w:hAnsi="Times New Roman;serif"/>
          <w:b w:val="false"/>
          <w:color w:val="0A0A0A"/>
          <w:sz w:val="22"/>
        </w:rPr>
        <w:t xml:space="preserve">June 30, 2026. Subordinated notes </w:t>
      </w:r>
      <w:r>
        <w:rPr>
          <w:rFonts w:ascii="Times New Roman;serif" w:hAnsi="Times New Roman;serif"/>
          <w:b w:val="false"/>
          <w:color w:val="000000"/>
          <w:sz w:val="22"/>
        </w:rPr>
        <w:t>decreased</w:t>
      </w:r>
      <w:r>
        <w:rPr>
          <w:color w:val="0A0A0A"/>
        </w:rPr>
        <w:t xml:space="preserve"> </w:t>
      </w:r>
      <w:r>
        <w:rPr>
          <w:rFonts w:ascii="Times New Roman;serif" w:hAnsi="Times New Roman;serif"/>
          <w:b w:val="false"/>
          <w:color w:val="000000"/>
          <w:sz w:val="22"/>
        </w:rPr>
        <w:t>$9.8 million</w:t>
      </w:r>
      <w:r>
        <w:rPr>
          <w:color w:val="0A0A0A"/>
        </w:rPr>
        <w:t xml:space="preserve"> </w:t>
      </w:r>
      <w:r>
        <w:rPr>
          <w:rFonts w:ascii="Times New Roman;serif" w:hAnsi="Times New Roman;serif"/>
          <w:b w:val="false"/>
          <w:color w:val="0A0A0A"/>
          <w:sz w:val="22"/>
        </w:rPr>
        <w:t xml:space="preserve">from $44.7 million as of </w:t>
      </w:r>
      <w:r>
        <w:rPr>
          <w:rFonts w:ascii="Times New Roman;serif" w:hAnsi="Times New Roman;serif"/>
          <w:b w:val="false"/>
          <w:color w:val="000000"/>
          <w:sz w:val="22"/>
        </w:rPr>
        <w:t>September 30, 2025</w:t>
      </w:r>
      <w:r>
        <w:rPr>
          <w:rFonts w:ascii="Times New Roman;serif" w:hAnsi="Times New Roman;serif"/>
          <w:b w:val="false"/>
          <w:color w:val="0A0A0A"/>
          <w:sz w:val="22"/>
        </w:rPr>
        <w:t>. Relative to the second quarter of 2026 and third quarter of 2025, the decrease was due to the redemption of $10.0 million of subordinated notes.</w:t>
      </w:r>
    </w:p>
    <w:p>
      <w:pPr>
        <w:pStyle w:val="TextBody"/>
        <w:bidi w:val="0"/>
        <w:spacing w:lineRule="auto" w:line="288" w:before="240" w:after="283"/>
        <w:jc w:val="left"/>
        <w:rPr>
          <w:rFonts w:ascii="Times New Roman;serif" w:hAnsi="Times New Roman;serif"/>
          <w:b/>
          <w:color w:val="0A0A0A"/>
          <w:sz w:val="22"/>
        </w:rPr>
      </w:pPr>
      <w:r>
        <w:rPr>
          <w:rFonts w:ascii="Times New Roman;serif" w:hAnsi="Times New Roman;serif"/>
          <w:b/>
          <w:color w:val="0A0A0A"/>
          <w:sz w:val="22"/>
        </w:rPr>
        <w:t>Assets Under Management</w:t>
      </w:r>
    </w:p>
    <w:p>
      <w:pPr>
        <w:pStyle w:val="TextBody"/>
        <w:bidi w:val="0"/>
        <w:spacing w:lineRule="auto" w:line="288" w:before="240" w:after="283"/>
        <w:jc w:val="both"/>
        <w:rPr/>
      </w:pPr>
      <w:r>
        <w:rPr>
          <w:rFonts w:ascii="Times New Roman;serif" w:hAnsi="Times New Roman;serif"/>
          <w:b w:val="false"/>
          <w:color w:val="0A0A0A"/>
          <w:sz w:val="22"/>
        </w:rPr>
        <w:t>Assets Under Management (</w:t>
      </w:r>
      <w:r>
        <w:rPr>
          <w:color w:val="0A0A0A"/>
          <w:shd w:fill="FFFFFF" w:val="clear"/>
        </w:rPr>
        <w:t>“</w:t>
      </w:r>
      <w:r>
        <w:rPr>
          <w:rFonts w:ascii="Times New Roman;serif" w:hAnsi="Times New Roman;serif"/>
          <w:b w:val="false"/>
          <w:color w:val="0A0A0A"/>
          <w:sz w:val="22"/>
        </w:rPr>
        <w:t>AUM</w:t>
      </w:r>
      <w:r>
        <w:rPr>
          <w:color w:val="0A0A0A"/>
          <w:shd w:fill="FFFFFF" w:val="clear"/>
        </w:rPr>
        <w:t>”</w:t>
      </w:r>
      <w:r>
        <w:rPr>
          <w:rFonts w:ascii="Times New Roman;serif" w:hAnsi="Times New Roman;serif"/>
          <w:b w:val="false"/>
          <w:color w:val="0A0A0A"/>
          <w:sz w:val="22"/>
        </w:rPr>
        <w:t xml:space="preserve">) was $7.21 billion as of </w:t>
      </w:r>
      <w:r>
        <w:rPr>
          <w:rFonts w:ascii="Times New Roman;serif" w:hAnsi="Times New Roman;serif"/>
          <w:b w:val="false"/>
          <w:color w:val="000000"/>
          <w:sz w:val="22"/>
        </w:rPr>
        <w:t>September 30, 2026</w:t>
      </w:r>
      <w:r>
        <w:rPr>
          <w:rFonts w:ascii="Times New Roman;serif" w:hAnsi="Times New Roman;serif"/>
          <w:b w:val="false"/>
          <w:color w:val="0A0A0A"/>
          <w:sz w:val="22"/>
        </w:rPr>
        <w:t>, a decrease of</w:t>
      </w:r>
      <w:r>
        <w:rPr>
          <w:color w:val="000000"/>
        </w:rPr>
        <w:t xml:space="preserve"> </w:t>
      </w:r>
      <w:r>
        <w:rPr>
          <w:rFonts w:ascii="Times New Roman;serif" w:hAnsi="Times New Roman;serif"/>
          <w:b w:val="false"/>
          <w:color w:val="000000"/>
          <w:sz w:val="22"/>
        </w:rPr>
        <w:t>$61 million,</w:t>
      </w:r>
      <w:r>
        <w:rPr>
          <w:color w:val="0A0A0A"/>
        </w:rPr>
        <w:t xml:space="preserve"> </w:t>
      </w:r>
      <w:r>
        <w:rPr>
          <w:rFonts w:ascii="Times New Roman;serif" w:hAnsi="Times New Roman;serif"/>
          <w:b w:val="false"/>
          <w:color w:val="0A0A0A"/>
          <w:sz w:val="22"/>
        </w:rPr>
        <w:t xml:space="preserve">or </w:t>
      </w:r>
      <w:r>
        <w:rPr>
          <w:rFonts w:ascii="Times New Roman;serif" w:hAnsi="Times New Roman;serif"/>
          <w:b w:val="false"/>
          <w:color w:val="000000"/>
          <w:sz w:val="22"/>
        </w:rPr>
        <w:t>0.8%</w:t>
      </w:r>
      <w:r>
        <w:rPr>
          <w:rFonts w:ascii="Times New Roman;serif" w:hAnsi="Times New Roman;serif"/>
          <w:b w:val="false"/>
          <w:color w:val="0A0A0A"/>
          <w:sz w:val="22"/>
        </w:rPr>
        <w:t xml:space="preserve">, from $7.28 billion as of June 30, 2026. The decrease in AUM during the quarter was primarily attributable to lower market values in low fee account types. Compared to </w:t>
      </w:r>
      <w:r>
        <w:rPr>
          <w:rFonts w:ascii="Times New Roman;serif" w:hAnsi="Times New Roman;serif"/>
          <w:b w:val="false"/>
          <w:color w:val="000000"/>
          <w:sz w:val="22"/>
        </w:rPr>
        <w:t>September 30, 2025</w:t>
      </w:r>
      <w:r>
        <w:rPr>
          <w:rFonts w:ascii="Times New Roman;serif" w:hAnsi="Times New Roman;serif"/>
          <w:b w:val="false"/>
          <w:color w:val="0A0A0A"/>
          <w:sz w:val="22"/>
        </w:rPr>
        <w:t xml:space="preserve">, total AUM decreased </w:t>
      </w:r>
      <w:r>
        <w:rPr>
          <w:rFonts w:ascii="Times New Roman;serif" w:hAnsi="Times New Roman;serif"/>
          <w:b w:val="false"/>
          <w:color w:val="000000"/>
          <w:sz w:val="22"/>
        </w:rPr>
        <w:t xml:space="preserve">2.9% </w:t>
      </w:r>
      <w:r>
        <w:rPr>
          <w:rFonts w:ascii="Times New Roman;serif" w:hAnsi="Times New Roman;serif"/>
          <w:b w:val="false"/>
          <w:color w:val="0A0A0A"/>
          <w:sz w:val="22"/>
        </w:rPr>
        <w:t xml:space="preserve">from $7.43 billion due to lower market values in low fee account types, partially offset by increased net contributions. </w:t>
      </w:r>
    </w:p>
    <w:p>
      <w:pPr>
        <w:pStyle w:val="TextBody"/>
        <w:bidi w:val="0"/>
        <w:spacing w:lineRule="auto" w:line="288" w:before="240" w:after="283"/>
        <w:jc w:val="both"/>
        <w:rPr>
          <w:rFonts w:ascii="Times New Roman;serif" w:hAnsi="Times New Roman;serif"/>
          <w:b/>
          <w:color w:val="0A0A0A"/>
          <w:sz w:val="22"/>
        </w:rPr>
      </w:pPr>
      <w:r>
        <w:rPr>
          <w:rFonts w:ascii="Times New Roman;serif" w:hAnsi="Times New Roman;serif"/>
          <w:b/>
          <w:color w:val="0A0A0A"/>
          <w:sz w:val="22"/>
        </w:rPr>
        <w:t>Credit Quality</w:t>
      </w:r>
    </w:p>
    <w:p>
      <w:pPr>
        <w:pStyle w:val="TextBody"/>
        <w:bidi w:val="0"/>
        <w:spacing w:lineRule="auto" w:line="288" w:before="240" w:after="283"/>
        <w:jc w:val="left"/>
        <w:rPr/>
      </w:pPr>
      <w:r>
        <w:rPr>
          <w:rFonts w:ascii="Times New Roman;serif" w:hAnsi="Times New Roman;serif"/>
          <w:b w:val="false"/>
          <w:color w:val="0A0A0A"/>
          <w:sz w:val="22"/>
        </w:rPr>
        <w:t xml:space="preserve">Non-performing assets totaled $13.3 million, or 0.39%, of Total assets as of </w:t>
      </w:r>
      <w:r>
        <w:rPr>
          <w:rFonts w:ascii="Times New Roman;serif" w:hAnsi="Times New Roman;serif"/>
          <w:b w:val="false"/>
          <w:color w:val="000000"/>
          <w:sz w:val="22"/>
        </w:rPr>
        <w:t xml:space="preserve">September 30, 2026, compared to </w:t>
      </w:r>
      <w:r>
        <w:rPr>
          <w:rFonts w:ascii="Times New Roman;serif" w:hAnsi="Times New Roman;serif"/>
          <w:b w:val="false"/>
          <w:color w:val="0A0A0A"/>
          <w:sz w:val="22"/>
        </w:rPr>
        <w:t>$16.3 million</w:t>
      </w:r>
      <w:r>
        <w:rPr>
          <w:rFonts w:ascii="Times New Roman;serif" w:hAnsi="Times New Roman;serif"/>
          <w:b w:val="false"/>
          <w:color w:val="000000"/>
          <w:sz w:val="22"/>
        </w:rPr>
        <w:t xml:space="preserve">, or </w:t>
      </w:r>
      <w:r>
        <w:rPr>
          <w:rFonts w:ascii="Times New Roman;serif" w:hAnsi="Times New Roman;serif"/>
          <w:b w:val="false"/>
          <w:color w:val="0A0A0A"/>
          <w:sz w:val="22"/>
        </w:rPr>
        <w:t>0.50%</w:t>
      </w:r>
      <w:r>
        <w:rPr>
          <w:rFonts w:ascii="Times New Roman;serif" w:hAnsi="Times New Roman;serif"/>
          <w:b w:val="false"/>
          <w:color w:val="000000"/>
          <w:sz w:val="22"/>
        </w:rPr>
        <w:t xml:space="preserve">, of Total assets, as of </w:t>
      </w:r>
      <w:r>
        <w:rPr>
          <w:rFonts w:ascii="Times New Roman;serif" w:hAnsi="Times New Roman;serif"/>
          <w:b w:val="false"/>
          <w:color w:val="0A0A0A"/>
          <w:sz w:val="22"/>
        </w:rPr>
        <w:t xml:space="preserve">June 30, 2026. As of </w:t>
      </w:r>
      <w:r>
        <w:rPr>
          <w:rFonts w:ascii="Times New Roman;serif" w:hAnsi="Times New Roman;serif"/>
          <w:b w:val="false"/>
          <w:color w:val="000000"/>
          <w:sz w:val="22"/>
        </w:rPr>
        <w:t>September 30, 2025</w:t>
      </w:r>
      <w:r>
        <w:rPr>
          <w:rFonts w:ascii="Times New Roman;serif" w:hAnsi="Times New Roman;serif"/>
          <w:b w:val="false"/>
          <w:color w:val="0A0A0A"/>
          <w:sz w:val="22"/>
        </w:rPr>
        <w:t xml:space="preserve">, non-performing assets totaled $22.7 million, or 0.70%, of Total assets. Relative to the </w:t>
      </w:r>
      <w:r>
        <w:rPr>
          <w:rFonts w:ascii="Times New Roman;serif" w:hAnsi="Times New Roman;serif"/>
          <w:b w:val="false"/>
          <w:color w:val="000000"/>
          <w:sz w:val="22"/>
        </w:rPr>
        <w:t xml:space="preserve">second quarter of 2026, the decrease in non-performing assets was driven by paydowns and a charge-off. </w:t>
      </w:r>
      <w:r>
        <w:rPr>
          <w:rFonts w:ascii="Times New Roman;serif" w:hAnsi="Times New Roman;serif"/>
          <w:b w:val="false"/>
          <w:color w:val="0A0A0A"/>
          <w:sz w:val="22"/>
        </w:rPr>
        <w:t xml:space="preserve">Relative to the </w:t>
      </w:r>
      <w:r>
        <w:rPr>
          <w:rFonts w:ascii="Times New Roman;serif" w:hAnsi="Times New Roman;serif"/>
          <w:b w:val="false"/>
          <w:color w:val="000000"/>
          <w:sz w:val="22"/>
        </w:rPr>
        <w:t>third quarter of 2025</w:t>
      </w:r>
      <w:r>
        <w:rPr>
          <w:rFonts w:ascii="Times New Roman;serif" w:hAnsi="Times New Roman;serif"/>
          <w:b w:val="false"/>
          <w:color w:val="0A0A0A"/>
          <w:sz w:val="22"/>
        </w:rPr>
        <w:t xml:space="preserve">, the </w:t>
      </w:r>
      <w:r>
        <w:rPr>
          <w:rFonts w:ascii="Times New Roman;serif" w:hAnsi="Times New Roman;serif"/>
          <w:b w:val="false"/>
          <w:color w:val="000000"/>
          <w:sz w:val="22"/>
        </w:rPr>
        <w:t>decrease</w:t>
      </w:r>
      <w:r>
        <w:rPr>
          <w:color w:val="0A0A0A"/>
        </w:rPr>
        <w:t xml:space="preserve"> </w:t>
      </w:r>
      <w:r>
        <w:rPr>
          <w:rFonts w:ascii="Times New Roman;serif" w:hAnsi="Times New Roman;serif"/>
          <w:b w:val="false"/>
          <w:color w:val="0A0A0A"/>
          <w:sz w:val="22"/>
        </w:rPr>
        <w:t>in non-performing assets was driven by the sale of an OREO property in the first quarter of 2026 and paydowns.</w:t>
      </w:r>
    </w:p>
    <w:p>
      <w:pPr>
        <w:pStyle w:val="TextBody"/>
        <w:bidi w:val="0"/>
        <w:spacing w:lineRule="auto" w:line="288" w:before="240" w:after="283"/>
        <w:jc w:val="both"/>
        <w:rPr/>
      </w:pPr>
      <w:r>
        <w:rPr>
          <w:rFonts w:ascii="Times New Roman;serif" w:hAnsi="Times New Roman;serif"/>
          <w:b w:val="false"/>
          <w:color w:val="0A0A0A"/>
          <w:sz w:val="22"/>
        </w:rPr>
        <w:t xml:space="preserve">Non-accrual loans totaled </w:t>
      </w:r>
      <w:r>
        <w:rPr>
          <w:rFonts w:ascii="Times New Roman;serif" w:hAnsi="Times New Roman;serif"/>
          <w:b w:val="false"/>
          <w:color w:val="000000"/>
          <w:sz w:val="22"/>
        </w:rPr>
        <w:t>$13.3 million</w:t>
      </w:r>
      <w:r>
        <w:rPr>
          <w:color w:val="0A0A0A"/>
        </w:rPr>
        <w:t xml:space="preserve"> </w:t>
      </w:r>
      <w:r>
        <w:rPr>
          <w:rFonts w:ascii="Times New Roman;serif" w:hAnsi="Times New Roman;serif"/>
          <w:b w:val="false"/>
          <w:color w:val="0A0A0A"/>
          <w:sz w:val="22"/>
        </w:rPr>
        <w:t xml:space="preserve">as of </w:t>
      </w:r>
      <w:r>
        <w:rPr>
          <w:rFonts w:ascii="Times New Roman;serif" w:hAnsi="Times New Roman;serif"/>
          <w:b w:val="false"/>
          <w:color w:val="000000"/>
          <w:sz w:val="22"/>
        </w:rPr>
        <w:t>September 30, 2026, compared to $16.3 million as of June 30, 2026</w:t>
      </w:r>
      <w:r>
        <w:rPr>
          <w:rFonts w:ascii="Times New Roman;serif" w:hAnsi="Times New Roman;serif"/>
          <w:b w:val="false"/>
          <w:color w:val="0A0A0A"/>
          <w:sz w:val="22"/>
        </w:rPr>
        <w:t xml:space="preserve">. As of </w:t>
      </w:r>
      <w:r>
        <w:rPr>
          <w:rFonts w:ascii="Times New Roman;serif" w:hAnsi="Times New Roman;serif"/>
          <w:b w:val="false"/>
          <w:color w:val="000000"/>
          <w:sz w:val="22"/>
        </w:rPr>
        <w:t>September 30, 2025</w:t>
      </w:r>
      <w:r>
        <w:rPr>
          <w:rFonts w:ascii="Times New Roman;serif" w:hAnsi="Times New Roman;serif"/>
          <w:b w:val="false"/>
          <w:color w:val="0A0A0A"/>
          <w:sz w:val="22"/>
        </w:rPr>
        <w:t xml:space="preserve">, non-accrual loans totaled </w:t>
      </w:r>
      <w:r>
        <w:rPr>
          <w:rFonts w:ascii="Times New Roman;serif" w:hAnsi="Times New Roman;serif"/>
          <w:b w:val="false"/>
          <w:color w:val="000000"/>
          <w:sz w:val="22"/>
        </w:rPr>
        <w:t xml:space="preserve">$18.3 million. </w:t>
      </w:r>
      <w:r>
        <w:rPr>
          <w:rFonts w:ascii="Times New Roman;serif" w:hAnsi="Times New Roman;serif"/>
          <w:b w:val="false"/>
          <w:color w:val="0A0A0A"/>
          <w:sz w:val="22"/>
        </w:rPr>
        <w:t xml:space="preserve">Relative to the </w:t>
      </w:r>
      <w:r>
        <w:rPr>
          <w:rFonts w:ascii="Times New Roman;serif" w:hAnsi="Times New Roman;serif"/>
          <w:b w:val="false"/>
          <w:color w:val="000000"/>
          <w:sz w:val="22"/>
        </w:rPr>
        <w:t>second quarter of 2026 and the third quarter of 2025, the decrease was driven primarily by paydowns.</w:t>
      </w:r>
    </w:p>
    <w:p>
      <w:pPr>
        <w:pStyle w:val="TextBody"/>
        <w:bidi w:val="0"/>
        <w:spacing w:lineRule="auto" w:line="288" w:before="240" w:after="283"/>
        <w:jc w:val="both"/>
        <w:rPr/>
      </w:pPr>
      <w:r>
        <w:rPr>
          <w:rFonts w:ascii="Times New Roman;serif" w:hAnsi="Times New Roman;serif"/>
          <w:b w:val="false"/>
          <w:color w:val="0A0A0A"/>
          <w:sz w:val="22"/>
        </w:rPr>
        <w:t xml:space="preserve">During the </w:t>
      </w:r>
      <w:r>
        <w:rPr>
          <w:rFonts w:ascii="Times New Roman;serif" w:hAnsi="Times New Roman;serif"/>
          <w:b w:val="false"/>
          <w:color w:val="000000"/>
          <w:sz w:val="22"/>
        </w:rPr>
        <w:t>third quarter of</w:t>
      </w:r>
      <w:r>
        <w:rPr>
          <w:color w:val="000000"/>
        </w:rPr>
        <w:t xml:space="preserve"> </w:t>
      </w:r>
      <w:r>
        <w:rPr>
          <w:rFonts w:ascii="Times New Roman;serif" w:hAnsi="Times New Roman;serif"/>
          <w:b w:val="false"/>
          <w:color w:val="000000"/>
          <w:sz w:val="22"/>
        </w:rPr>
        <w:t>2026,</w:t>
      </w:r>
      <w:r>
        <w:rPr>
          <w:color w:val="0A0A0A"/>
        </w:rPr>
        <w:t xml:space="preserve"> </w:t>
      </w:r>
      <w:r>
        <w:rPr>
          <w:rFonts w:ascii="Times New Roman;serif" w:hAnsi="Times New Roman;serif"/>
          <w:b w:val="false"/>
          <w:color w:val="0A0A0A"/>
          <w:sz w:val="22"/>
        </w:rPr>
        <w:t xml:space="preserve">the Company recorded a provision expense of $0.6 million, compared to a provision release of $0.5 million in the </w:t>
      </w:r>
      <w:r>
        <w:rPr>
          <w:rFonts w:ascii="Times New Roman;serif" w:hAnsi="Times New Roman;serif"/>
          <w:b w:val="false"/>
          <w:color w:val="000000"/>
          <w:sz w:val="22"/>
        </w:rPr>
        <w:t>second quarter of 2026,</w:t>
      </w:r>
      <w:r>
        <w:rPr>
          <w:color w:val="0A0A0A"/>
        </w:rPr>
        <w:t xml:space="preserve"> </w:t>
      </w:r>
      <w:r>
        <w:rPr>
          <w:rFonts w:ascii="Times New Roman;serif" w:hAnsi="Times New Roman;serif"/>
          <w:b w:val="false"/>
          <w:color w:val="0A0A0A"/>
          <w:sz w:val="22"/>
        </w:rPr>
        <w:t xml:space="preserve">and provision expense of $2.3 million in the </w:t>
      </w:r>
      <w:r>
        <w:rPr>
          <w:rFonts w:ascii="Times New Roman;serif" w:hAnsi="Times New Roman;serif"/>
          <w:b w:val="false"/>
          <w:color w:val="000000"/>
          <w:sz w:val="22"/>
        </w:rPr>
        <w:t>third quarter of 2025</w:t>
      </w:r>
      <w:r>
        <w:rPr>
          <w:rFonts w:ascii="Times New Roman;serif" w:hAnsi="Times New Roman;serif"/>
          <w:b w:val="false"/>
          <w:color w:val="0A0A0A"/>
          <w:sz w:val="22"/>
        </w:rPr>
        <w:t xml:space="preserve">. The expense of $0.6 million in the </w:t>
      </w:r>
      <w:r>
        <w:rPr>
          <w:rFonts w:ascii="Times New Roman;serif" w:hAnsi="Times New Roman;serif"/>
          <w:b w:val="false"/>
          <w:color w:val="000000"/>
          <w:sz w:val="22"/>
        </w:rPr>
        <w:t xml:space="preserve">third quarter of 2026 </w:t>
      </w:r>
      <w:r>
        <w:rPr>
          <w:rFonts w:ascii="Times New Roman;serif" w:hAnsi="Times New Roman;serif"/>
          <w:b w:val="false"/>
          <w:color w:val="0A0A0A"/>
          <w:sz w:val="22"/>
        </w:rPr>
        <w:t xml:space="preserve">was primarily driven by loan growth. As of </w:t>
      </w:r>
      <w:r>
        <w:rPr>
          <w:rFonts w:ascii="Times New Roman;serif" w:hAnsi="Times New Roman;serif"/>
          <w:b w:val="false"/>
          <w:color w:val="000000"/>
          <w:sz w:val="22"/>
        </w:rPr>
        <w:t xml:space="preserve">September 30, 2026 and </w:t>
      </w:r>
      <w:r>
        <w:rPr>
          <w:rFonts w:ascii="Times New Roman;serif" w:hAnsi="Times New Roman;serif"/>
          <w:b w:val="false"/>
          <w:color w:val="0A0A0A"/>
          <w:sz w:val="22"/>
        </w:rPr>
        <w:t>June 30, 2026, the Allowance for credit losses as a percentage of Total loans was 74 basis points and 75</w:t>
      </w:r>
      <w:r>
        <w:rPr>
          <w:color w:val="000000"/>
        </w:rPr>
        <w:t xml:space="preserve"> </w:t>
      </w:r>
      <w:r>
        <w:rPr>
          <w:rFonts w:ascii="Times New Roman;serif" w:hAnsi="Times New Roman;serif"/>
          <w:b w:val="false"/>
          <w:color w:val="0A0A0A"/>
          <w:sz w:val="22"/>
        </w:rPr>
        <w:t>basis points, respectively.</w:t>
      </w: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240" w:after="283"/>
        <w:jc w:val="left"/>
        <w:rPr>
          <w:rFonts w:ascii="Times New Roman;serif" w:hAnsi="Times New Roman;serif"/>
          <w:b/>
          <w:color w:val="0A0A0A"/>
          <w:sz w:val="22"/>
        </w:rPr>
      </w:pPr>
      <w:r>
        <w:rPr>
          <w:rFonts w:ascii="Times New Roman;serif" w:hAnsi="Times New Roman;serif"/>
          <w:b/>
          <w:color w:val="0A0A0A"/>
          <w:sz w:val="22"/>
        </w:rPr>
        <w:t>Capital</w:t>
      </w:r>
    </w:p>
    <w:p>
      <w:pPr>
        <w:pStyle w:val="TextBody"/>
        <w:bidi w:val="0"/>
        <w:spacing w:lineRule="auto" w:line="288" w:before="240" w:after="283"/>
        <w:jc w:val="both"/>
        <w:rPr/>
      </w:pPr>
      <w:r>
        <w:rPr>
          <w:rFonts w:ascii="Times New Roman;serif" w:hAnsi="Times New Roman;serif"/>
          <w:b w:val="false"/>
          <w:color w:val="0A0A0A"/>
          <w:sz w:val="22"/>
        </w:rPr>
        <w:t xml:space="preserve">As of </w:t>
      </w:r>
      <w:r>
        <w:rPr>
          <w:rFonts w:ascii="Times New Roman;serif" w:hAnsi="Times New Roman;serif"/>
          <w:b w:val="false"/>
          <w:color w:val="000000"/>
          <w:sz w:val="22"/>
        </w:rPr>
        <w:t>September 30, 2026</w:t>
      </w:r>
      <w:r>
        <w:rPr>
          <w:rFonts w:ascii="Times New Roman;serif" w:hAnsi="Times New Roman;serif"/>
          <w:b w:val="false"/>
          <w:color w:val="0A0A0A"/>
          <w:sz w:val="22"/>
          <w:shd w:fill="FFFFFF" w:val="clear"/>
        </w:rPr>
        <w:t xml:space="preserve">, First Western (“Consolidated”) and First Western Trust Bank (“Bank”) exceeded the minimum capital levels required by their respective regulators. As of </w:t>
      </w:r>
      <w:r>
        <w:rPr>
          <w:rFonts w:ascii="Times New Roman;serif" w:hAnsi="Times New Roman;serif"/>
          <w:b w:val="false"/>
          <w:color w:val="000000"/>
          <w:sz w:val="22"/>
          <w:shd w:fill="FFFFFF" w:val="clear"/>
        </w:rPr>
        <w:t>September 30, 2026</w:t>
      </w:r>
      <w:r>
        <w:rPr>
          <w:rFonts w:ascii="Times New Roman;serif" w:hAnsi="Times New Roman;serif"/>
          <w:b w:val="false"/>
          <w:color w:val="0A0A0A"/>
          <w:sz w:val="22"/>
          <w:shd w:fill="FFFFFF" w:val="clear"/>
        </w:rPr>
        <w:t>, the Bank was classified as “well capitalized,” as summarized in the following table:</w:t>
      </w:r>
    </w:p>
    <w:tbl>
      <w:tblPr>
        <w:tblW w:w="4394" w:type="dxa"/>
        <w:jc w:val="left"/>
        <w:tblInd w:w="0" w:type="dxa"/>
        <w:tblLayout w:type="fixed"/>
        <w:tblCellMar>
          <w:top w:w="28" w:type="dxa"/>
          <w:left w:w="28" w:type="dxa"/>
          <w:bottom w:w="28" w:type="dxa"/>
          <w:right w:w="28" w:type="dxa"/>
        </w:tblCellMar>
      </w:tblPr>
      <w:tblGrid>
        <w:gridCol w:w="1112"/>
        <w:gridCol w:w="978"/>
        <w:gridCol w:w="984"/>
        <w:gridCol w:w="307"/>
        <w:gridCol w:w="309"/>
        <w:gridCol w:w="704"/>
      </w:tblGrid>
      <w:tr>
        <w:trPr/>
        <w:tc>
          <w:tcPr>
            <w:tcW w:w="1112"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Consolidated Capital</w:t>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Tier 1 capital to risk-weighted assets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9.76 </w:t>
            </w:r>
          </w:p>
        </w:tc>
        <w:tc>
          <w:tcPr>
            <w:tcW w:w="70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CET1 to risk-weighted assets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9.76 </w:t>
            </w:r>
          </w:p>
        </w:tc>
        <w:tc>
          <w:tcPr>
            <w:tcW w:w="7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capital to risk-weighted assets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11.80 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Tier 1 capital to average assets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8.08 </w:t>
            </w:r>
          </w:p>
        </w:tc>
        <w:tc>
          <w:tcPr>
            <w:tcW w:w="7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Bank Capital</w:t>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Tier 1 capital to risk-weighted assets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10.79 </w:t>
            </w:r>
          </w:p>
        </w:tc>
        <w:tc>
          <w:tcPr>
            <w:tcW w:w="70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CET1 to risk-weighted assets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10.79 </w:t>
            </w:r>
          </w:p>
        </w:tc>
        <w:tc>
          <w:tcPr>
            <w:tcW w:w="7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capital to risk-weighted assets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11.60 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Tier 1 capital to average assets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8.92 </w:t>
            </w:r>
          </w:p>
        </w:tc>
        <w:tc>
          <w:tcPr>
            <w:tcW w:w="7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erif" w:hAnsi="Times New Roman;serif"/>
          <w:b w:val="false"/>
          <w:color w:val="000000"/>
          <w:sz w:val="22"/>
        </w:rPr>
        <w:t>Book value per common share increased 2.6% from $28.73 as of</w:t>
      </w:r>
      <w:r>
        <w:rPr>
          <w:color w:val="0A0A0A"/>
        </w:rPr>
        <w:t xml:space="preserve"> </w:t>
      </w:r>
      <w:r>
        <w:rPr>
          <w:rFonts w:ascii="Times New Roman;serif" w:hAnsi="Times New Roman;serif"/>
          <w:b w:val="false"/>
          <w:color w:val="0A0A0A"/>
          <w:sz w:val="22"/>
        </w:rPr>
        <w:t>June 30, 2026</w:t>
      </w:r>
      <w:r>
        <w:rPr>
          <w:color w:val="000000"/>
        </w:rPr>
        <w:t xml:space="preserve"> </w:t>
      </w:r>
      <w:r>
        <w:rPr>
          <w:rFonts w:ascii="Times New Roman;serif" w:hAnsi="Times New Roman;serif"/>
          <w:b w:val="false"/>
          <w:color w:val="000000"/>
          <w:sz w:val="22"/>
        </w:rPr>
        <w:t>to $29.48 as of September 30, 2026. Book value per common share increased 9.5%</w:t>
      </w:r>
      <w:r>
        <w:rPr>
          <w:color w:val="000000"/>
        </w:rPr>
        <w:t xml:space="preserve"> </w:t>
      </w:r>
      <w:r>
        <w:rPr>
          <w:rFonts w:ascii="Times New Roman;serif" w:hAnsi="Times New Roman;serif"/>
          <w:b w:val="false"/>
          <w:color w:val="000000"/>
          <w:sz w:val="22"/>
        </w:rPr>
        <w:t>from $26.92 as of</w:t>
      </w:r>
      <w:r>
        <w:rPr>
          <w:color w:val="0A0A0A"/>
        </w:rPr>
        <w:t xml:space="preserve"> </w:t>
      </w:r>
      <w:r>
        <w:rPr>
          <w:rFonts w:ascii="Times New Roman;serif" w:hAnsi="Times New Roman;serif"/>
          <w:b w:val="false"/>
          <w:color w:val="0A0A0A"/>
          <w:sz w:val="22"/>
        </w:rPr>
        <w:t>September 30, 2025</w:t>
      </w:r>
      <w:r>
        <w:rPr>
          <w:rFonts w:ascii="Times New Roman;serif" w:hAnsi="Times New Roman;serif"/>
          <w:b w:val="false"/>
          <w:color w:val="000000"/>
          <w:sz w:val="22"/>
        </w:rPr>
        <w:t xml:space="preserve">. </w:t>
      </w:r>
    </w:p>
    <w:p>
      <w:pPr>
        <w:pStyle w:val="TextBody"/>
        <w:bidi w:val="0"/>
        <w:spacing w:lineRule="auto" w:line="288" w:before="240" w:after="283"/>
        <w:jc w:val="both"/>
        <w:rPr/>
      </w:pPr>
      <w:r>
        <w:rPr>
          <w:rFonts w:ascii="Times New Roman;serif" w:hAnsi="Times New Roman;serif"/>
          <w:b w:val="false"/>
          <w:color w:val="000000"/>
          <w:sz w:val="22"/>
        </w:rPr>
        <w:t>Tangible book value per common share</w:t>
      </w:r>
      <w:r>
        <w:rPr>
          <w:rFonts w:ascii="Times New Roman;serif" w:hAnsi="Times New Roman;serif"/>
          <w:b w:val="false"/>
          <w:color w:val="000000"/>
          <w:sz w:val="14"/>
        </w:rPr>
        <w:t>(1)</w:t>
      </w:r>
      <w:r>
        <w:rPr>
          <w:color w:val="000000"/>
        </w:rPr>
        <w:t xml:space="preserve"> </w:t>
      </w:r>
      <w:r>
        <w:rPr>
          <w:rFonts w:ascii="Times New Roman;serif" w:hAnsi="Times New Roman;serif"/>
          <w:b w:val="false"/>
          <w:color w:val="000000"/>
          <w:sz w:val="22"/>
        </w:rPr>
        <w:t xml:space="preserve">increased 2.9% from $25.53 as of </w:t>
      </w:r>
      <w:r>
        <w:rPr>
          <w:rFonts w:ascii="Times New Roman;serif" w:hAnsi="Times New Roman;serif"/>
          <w:b w:val="false"/>
          <w:color w:val="0A0A0A"/>
          <w:sz w:val="22"/>
        </w:rPr>
        <w:t>June 30, 2026</w:t>
      </w:r>
      <w:r>
        <w:rPr>
          <w:color w:val="000000"/>
        </w:rPr>
        <w:t xml:space="preserve"> </w:t>
      </w:r>
      <w:r>
        <w:rPr>
          <w:rFonts w:ascii="Times New Roman;serif" w:hAnsi="Times New Roman;serif"/>
          <w:b w:val="false"/>
          <w:color w:val="000000"/>
          <w:sz w:val="22"/>
        </w:rPr>
        <w:t xml:space="preserve">to $26.28 as of September 30, 2026. Tangible book value per common share increased 11.0% from $23.68 as of </w:t>
      </w:r>
      <w:r>
        <w:rPr>
          <w:rFonts w:ascii="Times New Roman;serif" w:hAnsi="Times New Roman;serif"/>
          <w:b w:val="false"/>
          <w:color w:val="0A0A0A"/>
          <w:sz w:val="22"/>
        </w:rPr>
        <w:t>September 30, 2025</w:t>
      </w:r>
      <w:r>
        <w:rPr>
          <w:rFonts w:ascii="Times New Roman;serif" w:hAnsi="Times New Roman;serif"/>
          <w:b w:val="false"/>
          <w:color w:val="000000"/>
          <w:sz w:val="22"/>
        </w:rPr>
        <w:t xml:space="preserve">. </w:t>
      </w:r>
    </w:p>
    <w:p>
      <w:pPr>
        <w:pStyle w:val="TextBody"/>
        <w:bidi w:val="0"/>
        <w:spacing w:lineRule="auto" w:line="288" w:before="240" w:after="283"/>
        <w:ind w:left="0" w:right="0" w:hanging="180"/>
        <w:jc w:val="both"/>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Represents a Non-GAAP financial measure. See “Reconciliations of Non-GAAP Financial Measures” for a reconciliation of our Non-GAAP measures to the most directly comparable GAAP financial measure.</w:t>
      </w:r>
    </w:p>
    <w:p>
      <w:pPr>
        <w:pStyle w:val="TextBody"/>
        <w:bidi w:val="0"/>
        <w:spacing w:lineRule="auto" w:line="288" w:before="240" w:after="240"/>
        <w:jc w:val="left"/>
        <w:rPr>
          <w:rFonts w:ascii="Times New Roman;serif" w:hAnsi="Times New Roman;serif"/>
          <w:b/>
          <w:color w:val="000000"/>
          <w:sz w:val="22"/>
        </w:rPr>
      </w:pPr>
      <w:r>
        <w:rPr>
          <w:rFonts w:ascii="Times New Roman;serif" w:hAnsi="Times New Roman;serif"/>
          <w:b/>
          <w:color w:val="000000"/>
          <w:sz w:val="22"/>
        </w:rPr>
        <w:t>Conference Call, Webcast and Slide Presentation</w:t>
      </w:r>
    </w:p>
    <w:p>
      <w:pPr>
        <w:pStyle w:val="TextBody"/>
        <w:bidi w:val="0"/>
        <w:spacing w:lineRule="auto" w:line="256" w:before="0" w:after="0"/>
        <w:jc w:val="left"/>
        <w:rPr/>
      </w:pPr>
      <w:r>
        <w:rPr>
          <w:rFonts w:ascii="Times New Roman;serif" w:hAnsi="Times New Roman;serif"/>
          <w:b w:val="false"/>
          <w:color w:val="000000"/>
          <w:sz w:val="22"/>
        </w:rPr>
        <w:t>The Company will host a conference call and webcast at 10:00 a.m. MT / 12:00 p.m. ET on Friday, October 23, 2026. Telephone access:</w:t>
      </w:r>
      <w:r>
        <w:rPr>
          <w:color w:val="0000FF"/>
        </w:rPr>
        <w:t xml:space="preserve"> </w:t>
      </w:r>
      <w:r>
        <w:rPr>
          <w:rFonts w:ascii="Times New Roman;serif" w:hAnsi="Times New Roman;serif"/>
          <w:b w:val="false"/>
          <w:color w:val="0000FF"/>
          <w:sz w:val="22"/>
          <w:u w:val="single"/>
        </w:rPr>
        <w:t>https://register-conf.media-server.com/register/BI8c00cfaf86874909b3e5150dcea82eff</w:t>
      </w:r>
    </w:p>
    <w:p>
      <w:pPr>
        <w:pStyle w:val="TextBody"/>
        <w:bidi w:val="0"/>
        <w:spacing w:before="0" w:after="0"/>
        <w:jc w:val="left"/>
        <w:rPr/>
      </w:pPr>
      <w:r>
        <w:rPr/>
      </w:r>
    </w:p>
    <w:p>
      <w:pPr>
        <w:pStyle w:val="TextBody"/>
        <w:bidi w:val="0"/>
        <w:spacing w:lineRule="auto" w:line="256" w:before="0" w:after="0"/>
        <w:jc w:val="left"/>
        <w:rPr/>
      </w:pPr>
      <w:r>
        <w:rPr>
          <w:rFonts w:ascii="Times New Roman;serif" w:hAnsi="Times New Roman;serif"/>
          <w:b w:val="false"/>
          <w:color w:val="000000"/>
          <w:sz w:val="22"/>
        </w:rPr>
        <w:t xml:space="preserve">A slide presentation relating to the third quarter 2026 results will be accessible prior to the scheduled conference call. The slide presentation and webcast of the conference call can be accessed on the Events and Presentations page of the Company’s investor relations website at </w:t>
      </w:r>
      <w:r>
        <w:rPr>
          <w:rFonts w:ascii="Times New Roman;serif" w:hAnsi="Times New Roman;serif"/>
          <w:b w:val="false"/>
          <w:color w:val="0000FF"/>
          <w:sz w:val="22"/>
          <w:u w:val="single"/>
        </w:rPr>
        <w:t>https://myfw.gcs-web.com</w:t>
      </w:r>
      <w:r>
        <w:rPr>
          <w:rFonts w:ascii="Times New Roman;serif" w:hAnsi="Times New Roman;serif"/>
          <w:b w:val="false"/>
          <w:color w:val="000000"/>
          <w:sz w:val="22"/>
        </w:rPr>
        <w:t>.</w:t>
      </w: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About First Western</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First Western is a financial services holding company headquartered in Denver, Colorado, with operations in Colorado, Arizona, Wyoming, California, and Montana. First Western and its subsidiaries provide a fully integrated suite of wealth management services on a private trust bank platform, which includes a comprehensive selection of deposit, loan, trust, wealth planning and investment management products and services. First Western’s common stock is traded on the Nasdaq Global Select Market under the symbol “MYFW.” For more information, please visit www.myfw.com.</w:t>
      </w: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240" w:after="283"/>
        <w:jc w:val="both"/>
        <w:rPr>
          <w:rFonts w:ascii="Times New Roman;serif" w:hAnsi="Times New Roman;serif"/>
          <w:b/>
          <w:color w:val="000000"/>
          <w:sz w:val="22"/>
        </w:rPr>
      </w:pPr>
      <w:r>
        <w:rPr>
          <w:rFonts w:ascii="Times New Roman;serif" w:hAnsi="Times New Roman;serif"/>
          <w:b/>
          <w:color w:val="000000"/>
          <w:sz w:val="22"/>
        </w:rPr>
        <w:t>Non-GAAP Financial Measures</w:t>
      </w:r>
    </w:p>
    <w:p>
      <w:pPr>
        <w:pStyle w:val="TextBody"/>
        <w:bidi w:val="0"/>
        <w:spacing w:lineRule="auto" w:line="288" w:before="240" w:after="283"/>
        <w:jc w:val="both"/>
        <w:rPr/>
      </w:pPr>
      <w:r>
        <w:rPr>
          <w:rFonts w:ascii="Times New Roman;serif" w:hAnsi="Times New Roman;serif"/>
          <w:b w:val="false"/>
          <w:color w:val="000000"/>
          <w:sz w:val="22"/>
        </w:rPr>
        <w:t>Some of the financial measures included in this press release are not measures of financial performance recognized in accordance with generally accepted accounting principles in the United States (“GAAP”). These non-GAAP financial measures include “Tangible Common Equity,” “Tangible Common Book Value per Share,” “Return on Tangible Common Equity,” “Efficiency Ratio,” and “Gross Revenue”</w:t>
      </w:r>
      <w:r>
        <w:rPr>
          <w:rFonts w:ascii="Times New Roman;serif" w:hAnsi="Times New Roman;serif"/>
          <w:b w:val="false"/>
          <w:color w:val="000000"/>
          <w:sz w:val="22"/>
          <w:shd w:fill="FFFFFF" w:val="clear"/>
        </w:rPr>
        <w:t xml:space="preserve">. </w:t>
      </w:r>
      <w:r>
        <w:rPr>
          <w:rFonts w:ascii="Times New Roman;serif" w:hAnsi="Times New Roman;serif"/>
          <w:b w:val="false"/>
          <w:color w:val="000000"/>
          <w:sz w:val="22"/>
        </w:rPr>
        <w:t>The Company believes these non-GAAP financial measures provide both management and investors a more complete understanding of the Company’s financial position and performance. These non-GAAP financial measures are supplemental and are not a substitute for any analysis based on GAAP financial measures. Not all companies use the same calculation of these measures; therefore, this presentation may not be comparable to other similarly titled measures as presented by other companies. Reconciliation of non-GAAP financial measures to GAAP financial measures are provided at the end of this press release.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Forward-Looking Statements</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Statements in this news release regarding our expectations and beliefs about our future financial performance and financial condition, as well as trends in our business and markets are “forward-looking statements” as defined in the Private Securities Litigation Reform Act of 1995. Forward-looking statements often include words such as “believe,” “expect,” “anticipate,” “intend,” “plan,” “estimate,” “project,” “position,” “outlook,” or words of similar meaning, or future or conditional verbs such as “will,” “would,” “should,” “could,” or “may.” The forward-looking statements in this news release are based on current information and on assumptions that we make about future events and circumstances that are subject to a number of risks and uncertainties that are often difficult to predict and beyond our control. As a result of those risks and uncertainties, our actual financial results in the future could differ, possibly materially, from those expressed in or implied by the forward-looking statements contained in this news release and could cause us to make changes to our future plans. Those risks and uncertainties include, without limitation, the risk of geographic concentration in Colorado, Arizona, Wyoming, California, and Montana; the risk of changes in the economy affecting real estate values and liquidity; the risk in our ability to continue to originate residential real estate loans and sell such loans; risks specific to commercial loans and borrowers; the risk of claims and litigation pertaining to our fiduciary responsibilities; the risk of changes in interest rates could reduce our net interest margins and Net interest income; increased credit risk, including as a result of deterioration in economic conditions, could require us to increase our allowance for credit losses and could have a material adverse effect on our results of operations and financial condition; the risk in our ability to maintain a strong core deposit base or other low-cost funding sources. Additional information regarding these and other risks and uncertainties to which our business and future financial performance are subject is contained in our Annual Report on Form 10-K filed with the U.S. Securities and Exchange Commission (“SEC”) on February 27, 2026 (“Form 10-K”), and other documents we file with the SEC from time to time. We urge readers of this news release to review the “Risk Factors” section our Form 10-K and any updates to those risk factors set forth in our subsequent Quarterly Reports on Form 10-Q, Current Reports on Form 8-K, and our other filings with the SEC. Also, our actual financial results in the future may differ from those currently expected due to additional risks and uncertainties of which we are not currently aware or which we do not currently view as, but in the future may become, material to our business or operating results. Due to these and other possible uncertainties and risks, readers are cautioned not to place undue reliance on the forward-looking statements contained in this news release, which speak only as of today’s date, or to make predictions based solely on historical financial performance. Any forward-looking statement speaks only as of the date on which it is made, and we do not undertake any obligation to update or review any forward-looking statement, whether as a result of new information, future developments or otherwise, except as required by law.</w:t>
      </w:r>
    </w:p>
    <w:p>
      <w:pPr>
        <w:pStyle w:val="TextBody"/>
        <w:bidi w:val="0"/>
        <w:spacing w:lineRule="auto" w:line="288" w:before="240" w:after="283"/>
        <w:jc w:val="both"/>
        <w:rPr>
          <w:rFonts w:ascii="Times New Roman;serif" w:hAnsi="Times New Roman;serif"/>
          <w:b/>
          <w:color w:val="000000"/>
          <w:sz w:val="22"/>
        </w:rPr>
      </w:pPr>
      <w:r>
        <w:rPr>
          <w:rFonts w:ascii="Times New Roman;serif" w:hAnsi="Times New Roman;serif"/>
          <w:b/>
          <w:color w:val="000000"/>
          <w:sz w:val="22"/>
        </w:rPr>
        <w:t>Contacts: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Financial Profiles, Inc.</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Lisa Fortuna</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310-622-8251</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MYFW@finprofiles.com</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IR@myfw.com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2"/>
        </w:rPr>
      </w:pPr>
      <w:r>
        <w:rPr>
          <w:rFonts w:ascii="Times New Roman;serif" w:hAnsi="Times New Roman;serif"/>
          <w:b/>
          <w:color w:val="000000"/>
          <w:sz w:val="22"/>
        </w:rPr>
        <w:t>First Western Financial,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Condensed Consolidated Statements of Income (unaudited)</w:t>
      </w:r>
    </w:p>
    <w:tbl>
      <w:tblPr>
        <w:tblW w:w="8594" w:type="dxa"/>
        <w:jc w:val="left"/>
        <w:tblInd w:w="0" w:type="dxa"/>
        <w:tblLayout w:type="fixed"/>
        <w:tblCellMar>
          <w:top w:w="28" w:type="dxa"/>
          <w:left w:w="28" w:type="dxa"/>
          <w:bottom w:w="28" w:type="dxa"/>
          <w:right w:w="28" w:type="dxa"/>
        </w:tblCellMar>
      </w:tblPr>
      <w:tblGrid>
        <w:gridCol w:w="1687"/>
        <w:gridCol w:w="1483"/>
        <w:gridCol w:w="1494"/>
        <w:gridCol w:w="235"/>
        <w:gridCol w:w="775"/>
        <w:gridCol w:w="130"/>
        <w:gridCol w:w="109"/>
        <w:gridCol w:w="109"/>
        <w:gridCol w:w="109"/>
        <w:gridCol w:w="196"/>
        <w:gridCol w:w="646"/>
        <w:gridCol w:w="109"/>
        <w:gridCol w:w="109"/>
        <w:gridCol w:w="109"/>
        <w:gridCol w:w="109"/>
        <w:gridCol w:w="233"/>
        <w:gridCol w:w="769"/>
        <w:gridCol w:w="183"/>
      </w:tblGrid>
      <w:tr>
        <w:trPr/>
        <w:tc>
          <w:tcPr>
            <w:tcW w:w="1687"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4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4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r>
      <w:tr>
        <w:trPr/>
        <w:tc>
          <w:tcPr>
            <w:tcW w:w="46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(dollars in thousands, except per share amounts)</w:t>
            </w:r>
          </w:p>
        </w:tc>
        <w:tc>
          <w:tcPr>
            <w:tcW w:w="11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and dividend income:</w:t>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Loans, including fees</w:t>
            </w:r>
          </w:p>
        </w:tc>
        <w:tc>
          <w:tcPr>
            <w:tcW w:w="23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40,153 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37,701 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Loans accounted for under the fair value option</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Investment securities</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2,819 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1,387 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Interest-bearing deposits in other financial institutions</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834 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3,468 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restricted stock</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interest and dividend income</w:t>
            </w:r>
          </w:p>
        </w:tc>
        <w:tc>
          <w:tcPr>
            <w:tcW w:w="10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43,954 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41,853 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42,774 </w:t>
            </w:r>
          </w:p>
        </w:tc>
        <w:tc>
          <w:tcPr>
            <w:tcW w:w="1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Deposits</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20,136 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22,177 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borrowed funds</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858 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1,143 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interest expense</w:t>
            </w:r>
          </w:p>
        </w:tc>
        <w:tc>
          <w:tcPr>
            <w:tcW w:w="101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20,994 </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20,089 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23,320 </w:t>
            </w:r>
          </w:p>
        </w:tc>
        <w:tc>
          <w:tcPr>
            <w:tcW w:w="18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interest income</w:t>
            </w:r>
          </w:p>
        </w:tc>
        <w:tc>
          <w:tcPr>
            <w:tcW w:w="10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22,960 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21,764 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19,454 </w:t>
            </w:r>
          </w:p>
        </w:tc>
        <w:tc>
          <w:tcPr>
            <w:tcW w:w="1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Less: Provision for (release of) credit losses</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2,257 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Net interest income, after provision for credit losses</w:t>
            </w:r>
          </w:p>
        </w:tc>
        <w:tc>
          <w:tcPr>
            <w:tcW w:w="10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22,313 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22,233 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17,197 </w:t>
            </w:r>
          </w:p>
        </w:tc>
        <w:tc>
          <w:tcPr>
            <w:tcW w:w="1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Non-interest income:</w:t>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Trust and investment management fees</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4,865 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4,629 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gain on mortgage loans</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1,394 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Bank fees</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312 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Risk management and insurance fees</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193 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Income on company-owned life insurance</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116 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gain on loans accounted for under the fair value option</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(76)</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(loss) gain recognized on equity securities</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174 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non-interest income</w:t>
            </w:r>
          </w:p>
        </w:tc>
        <w:tc>
          <w:tcPr>
            <w:tcW w:w="101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5,806 </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6,385 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6,842 </w:t>
            </w:r>
          </w:p>
        </w:tc>
        <w:tc>
          <w:tcPr>
            <w:tcW w:w="18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income before non-interest expense</w:t>
            </w:r>
          </w:p>
        </w:tc>
        <w:tc>
          <w:tcPr>
            <w:tcW w:w="10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28,119 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28,618 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24,039 </w:t>
            </w:r>
          </w:p>
        </w:tc>
        <w:tc>
          <w:tcPr>
            <w:tcW w:w="1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Non-interest expense:</w:t>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Salaries and employee benefits</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12,704 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11,884 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Occupancy and equipment</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2,087 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2,188 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Professional services</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1,560 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1,894 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Technology and information systems</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1,187 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951 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Data processing</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1,308 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1,251 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Marketing</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other intangible assets</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1,527 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1,504 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non-interest expense</w:t>
            </w:r>
          </w:p>
        </w:tc>
        <w:tc>
          <w:tcPr>
            <w:tcW w:w="101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20,840 </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21,217 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20,074 </w:t>
            </w:r>
          </w:p>
        </w:tc>
        <w:tc>
          <w:tcPr>
            <w:tcW w:w="18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Income before income taxes</w:t>
            </w:r>
          </w:p>
        </w:tc>
        <w:tc>
          <w:tcPr>
            <w:tcW w:w="10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7,279 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7,401 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3,965 </w:t>
            </w:r>
          </w:p>
        </w:tc>
        <w:tc>
          <w:tcPr>
            <w:tcW w:w="1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Income tax expense</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1,298 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779 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available to common shareholders</w:t>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5,981 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3,186 </w:t>
            </w:r>
          </w:p>
        </w:tc>
        <w:tc>
          <w:tcPr>
            <w:tcW w:w="1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Earnings per common share:</w:t>
            </w:r>
          </w:p>
        </w:tc>
        <w:tc>
          <w:tcPr>
            <w:tcW w:w="11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Basic</w:t>
            </w:r>
          </w:p>
        </w:tc>
        <w:tc>
          <w:tcPr>
            <w:tcW w:w="23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0.61 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0.33 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Diluted</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0.60 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0.32 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2"/>
        </w:rPr>
      </w:pPr>
      <w:r>
        <w:rPr>
          <w:rFonts w:ascii="Times New Roman;serif" w:hAnsi="Times New Roman;serif"/>
          <w:b/>
          <w:color w:val="000000"/>
          <w:sz w:val="22"/>
        </w:rPr>
        <w:t>First Western Financial,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Condensed Consolidated Balance Sheets (unaudited)</w:t>
      </w:r>
    </w:p>
    <w:tbl>
      <w:tblPr>
        <w:tblW w:w="10205" w:type="dxa"/>
        <w:jc w:val="left"/>
        <w:tblInd w:w="0" w:type="dxa"/>
        <w:tblLayout w:type="fixed"/>
        <w:tblCellMar>
          <w:top w:w="28" w:type="dxa"/>
          <w:left w:w="28" w:type="dxa"/>
          <w:bottom w:w="28" w:type="dxa"/>
          <w:right w:w="28" w:type="dxa"/>
        </w:tblCellMar>
      </w:tblPr>
      <w:tblGrid>
        <w:gridCol w:w="2406"/>
        <w:gridCol w:w="1612"/>
        <w:gridCol w:w="1599"/>
        <w:gridCol w:w="211"/>
        <w:gridCol w:w="976"/>
        <w:gridCol w:w="109"/>
        <w:gridCol w:w="109"/>
        <w:gridCol w:w="109"/>
        <w:gridCol w:w="109"/>
        <w:gridCol w:w="211"/>
        <w:gridCol w:w="976"/>
        <w:gridCol w:w="109"/>
        <w:gridCol w:w="109"/>
        <w:gridCol w:w="109"/>
        <w:gridCol w:w="109"/>
        <w:gridCol w:w="211"/>
        <w:gridCol w:w="976"/>
        <w:gridCol w:w="155"/>
      </w:tblGrid>
      <w:tr>
        <w:trPr/>
        <w:tc>
          <w:tcPr>
            <w:tcW w:w="2406"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r>
      <w:tr>
        <w:trPr/>
        <w:tc>
          <w:tcPr>
            <w:tcW w:w="56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(dollars in thousands)</w:t>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due from banks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13,889 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Interest-bearing deposits in other financial institutions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341,750 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and cash equivalents</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166,248 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174,886 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355,639 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Available-for-sale debt securities, at fair value (amortized cost of $154,271, $89,745, and $49,407, respectively)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49,177 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Held-to-maturity debt securities (fair value of $134,582, $112,617 and $93,589, respectively), net of allowance for credit losses of $189, $151, and $71,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98,205 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Correspondent bank stock, at cost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6,481 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loans held for sale, at fair value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21,806 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Loans (includes $1,146, $1,758, and $4,208 measured at fair value, respectively)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2,806,245 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2,711,803 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2,590,846 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(20,967)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Loans, net</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2,785,460 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2,691,506 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2,569,879 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Premises and equipment,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24,963 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 receivable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11,907 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4,687 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receivables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3,736 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real estate owned,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4,389 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and other intangible assets,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31,473 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Company-owned life insurance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17,299 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37,283 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3,420,842 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3,238,006 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3,240,424 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Deposits: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Noninterest-bearing</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420,566 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381,826 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375,708 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Interest-bearing</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2,495,647 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2,464,138 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2,473,203 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deposits</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2,916,213 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2,845,964 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2,848,911 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Borrowings: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Federal Home Loan Bank and Federal Reserve borrowings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50,867 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Subordinated notes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44,724 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 payable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32,738 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3,132,727 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2,957,413 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2,978,929 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Shareholders’ Equity</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shareholders’ equity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280,593 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261,495 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shareholders’ equity</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3,420,842 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3,238,006 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3,240,424 </w:t>
            </w:r>
          </w:p>
        </w:tc>
        <w:tc>
          <w:tcPr>
            <w:tcW w:w="1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2"/>
        </w:rPr>
      </w:pPr>
      <w:r>
        <w:rPr>
          <w:rFonts w:ascii="Times New Roman;serif" w:hAnsi="Times New Roman;serif"/>
          <w:b/>
          <w:color w:val="000000"/>
          <w:sz w:val="22"/>
        </w:rPr>
        <w:t>First Western Financial,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Consolidated Financial Summary (unaudited)</w:t>
      </w:r>
    </w:p>
    <w:tbl>
      <w:tblPr>
        <w:tblW w:w="10205" w:type="dxa"/>
        <w:jc w:val="left"/>
        <w:tblInd w:w="0" w:type="dxa"/>
        <w:tblLayout w:type="fixed"/>
        <w:tblCellMar>
          <w:top w:w="28" w:type="dxa"/>
          <w:left w:w="28" w:type="dxa"/>
          <w:bottom w:w="28" w:type="dxa"/>
          <w:right w:w="28" w:type="dxa"/>
        </w:tblCellMar>
      </w:tblPr>
      <w:tblGrid>
        <w:gridCol w:w="2155"/>
        <w:gridCol w:w="1727"/>
        <w:gridCol w:w="1735"/>
        <w:gridCol w:w="211"/>
        <w:gridCol w:w="976"/>
        <w:gridCol w:w="109"/>
        <w:gridCol w:w="109"/>
        <w:gridCol w:w="109"/>
        <w:gridCol w:w="109"/>
        <w:gridCol w:w="211"/>
        <w:gridCol w:w="976"/>
        <w:gridCol w:w="109"/>
        <w:gridCol w:w="109"/>
        <w:gridCol w:w="109"/>
        <w:gridCol w:w="109"/>
        <w:gridCol w:w="211"/>
        <w:gridCol w:w="976"/>
        <w:gridCol w:w="155"/>
      </w:tblGrid>
      <w:tr>
        <w:trPr/>
        <w:tc>
          <w:tcPr>
            <w:tcW w:w="2155" w:type="dxa"/>
            <w:tcBorders/>
            <w:vAlign w:val="center"/>
          </w:tcPr>
          <w:p>
            <w:pPr>
              <w:pStyle w:val="TableContents"/>
              <w:bidi w:val="0"/>
              <w:spacing w:before="0" w:after="283"/>
              <w:jc w:val="left"/>
              <w:rPr>
                <w:sz w:val="4"/>
                <w:szCs w:val="4"/>
              </w:rPr>
            </w:pPr>
            <w:r>
              <w:rPr>
                <w:sz w:val="4"/>
                <w:szCs w:val="4"/>
              </w:rPr>
            </w:r>
          </w:p>
        </w:tc>
        <w:tc>
          <w:tcPr>
            <w:tcW w:w="1727" w:type="dxa"/>
            <w:tcBorders/>
            <w:vAlign w:val="center"/>
          </w:tcPr>
          <w:p>
            <w:pPr>
              <w:pStyle w:val="TableContents"/>
              <w:bidi w:val="0"/>
              <w:spacing w:before="0" w:after="283"/>
              <w:jc w:val="left"/>
              <w:rPr>
                <w:sz w:val="4"/>
                <w:szCs w:val="4"/>
              </w:rPr>
            </w:pPr>
            <w:r>
              <w:rPr>
                <w:sz w:val="4"/>
                <w:szCs w:val="4"/>
              </w:rPr>
            </w:r>
          </w:p>
        </w:tc>
        <w:tc>
          <w:tcPr>
            <w:tcW w:w="17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r>
      <w:tr>
        <w:trPr/>
        <w:tc>
          <w:tcPr>
            <w:tcW w:w="56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(dollars in thousands)</w:t>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Loan Portfolio</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securities, and other</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159,204 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Consumer and other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12,254 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and development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230,600 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1-4 family residential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1,133,089 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1,089,697 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1,041,990 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Non-owner occupied CRE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762,884 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768,528 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728,039 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Owner occupied CRE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231,988 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191,239 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and industrial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225,919 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2,809,701 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2,714,094 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2,589,245 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Loans accounted for under the fair value option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4,319 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loans held for investment</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2,810,858 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2,715,868 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2,593,564 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Deferred fees, unamortized premiums, basis adjustments, net</w:t>
            </w:r>
            <w:r>
              <w:rPr>
                <w:rFonts w:ascii="Times New Roman;serif" w:hAnsi="Times New Roman;serif"/>
                <w:b w:val="false"/>
                <w:color w:val="000000"/>
                <w:sz w:val="13"/>
              </w:rPr>
              <w:t>(1)(2)</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Loans (includes $1,146, $1,758, and $4,208 measured at fair value, respectively)</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2,806,246 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2,711,803 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2,590,846 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loans held for sale</w:t>
            </w:r>
          </w:p>
        </w:tc>
        <w:tc>
          <w:tcPr>
            <w:tcW w:w="118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18,989 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24,675 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21,806 </w:t>
            </w:r>
          </w:p>
        </w:tc>
        <w:tc>
          <w:tcPr>
            <w:tcW w:w="155"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Deposit Portfolio</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deposit accounts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2,004,098 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1,975,295 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1,988,336 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Time deposits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354,407 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353,373 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349,533 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checking accounts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121,901 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Savings accounts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13,433 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interest-bearing deposits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2,495,647 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2,464,138 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2,473,203 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Noninterest-bearing accounts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420,566 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381,826 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375,708 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deposits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2,916,213 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2,845,964 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2,848,911 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____________________</w:t>
      </w:r>
    </w:p>
    <w:p>
      <w:pPr>
        <w:pStyle w:val="TextBody"/>
        <w:bidi w:val="0"/>
        <w:spacing w:lineRule="auto" w:line="288" w:before="0" w:after="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Includes fair value adjustments on loans held for investment accounted for under the fair value option.</w:t>
      </w:r>
    </w:p>
    <w:p>
      <w:pPr>
        <w:pStyle w:val="TextBody"/>
        <w:bidi w:val="0"/>
        <w:spacing w:lineRule="auto" w:line="288" w:before="0" w:after="0"/>
        <w:jc w:val="left"/>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Includes basis adjustments related to the hedged portfolio accounted for under the portfolio layer method.</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2"/>
        </w:rPr>
      </w:pPr>
      <w:r>
        <w:rPr>
          <w:rFonts w:ascii="Times New Roman;serif" w:hAnsi="Times New Roman;serif"/>
          <w:b/>
          <w:color w:val="000000"/>
          <w:sz w:val="22"/>
        </w:rPr>
        <w:t>First Western Financial,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Consolidated Financial Summary (unaudited) (continued)</w:t>
      </w:r>
    </w:p>
    <w:tbl>
      <w:tblPr>
        <w:tblW w:w="9602" w:type="dxa"/>
        <w:jc w:val="left"/>
        <w:tblInd w:w="0" w:type="dxa"/>
        <w:tblLayout w:type="fixed"/>
        <w:tblCellMar>
          <w:top w:w="28" w:type="dxa"/>
          <w:left w:w="28" w:type="dxa"/>
          <w:bottom w:w="28" w:type="dxa"/>
          <w:right w:w="28" w:type="dxa"/>
        </w:tblCellMar>
      </w:tblPr>
      <w:tblGrid>
        <w:gridCol w:w="1642"/>
        <w:gridCol w:w="1441"/>
        <w:gridCol w:w="1446"/>
        <w:gridCol w:w="211"/>
        <w:gridCol w:w="976"/>
        <w:gridCol w:w="271"/>
        <w:gridCol w:w="109"/>
        <w:gridCol w:w="109"/>
        <w:gridCol w:w="109"/>
        <w:gridCol w:w="211"/>
        <w:gridCol w:w="976"/>
        <w:gridCol w:w="271"/>
        <w:gridCol w:w="109"/>
        <w:gridCol w:w="109"/>
        <w:gridCol w:w="109"/>
        <w:gridCol w:w="211"/>
        <w:gridCol w:w="976"/>
        <w:gridCol w:w="316"/>
      </w:tblGrid>
      <w:tr>
        <w:trPr/>
        <w:tc>
          <w:tcPr>
            <w:tcW w:w="1642"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As of or for the Three Months Ended </w:t>
            </w:r>
          </w:p>
        </w:tc>
      </w:tr>
      <w:tr>
        <w:trPr/>
        <w:tc>
          <w:tcPr>
            <w:tcW w:w="4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r>
      <w:tr>
        <w:trPr/>
        <w:tc>
          <w:tcPr>
            <w:tcW w:w="45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(dollars in thousands)</w:t>
            </w:r>
          </w:p>
        </w:tc>
        <w:tc>
          <w:tcPr>
            <w:tcW w:w="14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Average Balance Sheets</w:t>
            </w:r>
          </w:p>
        </w:tc>
        <w:tc>
          <w:tcPr>
            <w:tcW w:w="14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Interest-earning assets:</w:t>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Interest-bearing deposits in other financial institutions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88,229 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94,533 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307,979 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Debt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240,811 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167,993 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127,154 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Correspondent bank stock</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5,672 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7,369 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7,500 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Gross loans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2,735,212 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2,712,366 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2,562,960 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loans held for sale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16,938 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26,037 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Loans held at fair value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4,809 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interest-earning assets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3,088,370 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3,007,310 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3,036,439 </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Noninterest-earning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125,658 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121,384 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124,457 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3,214,028 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3,128,694 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3,160,896 </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Liabilities and Shareholders’ Equity</w:t>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Interest-bearing liabilities:</w:t>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Interest-bearing deposits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2,456,221 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2,367,442 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2,422,177 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FHLB and Federal Reserve borrowings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18,091 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41,409 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51,065 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Subordinated notes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41,601 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44,823 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44,690 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interest-bearing liabilities</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2,515,913 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2,453,674 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2,517,932 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Noninterest-bearing liabilities:</w:t>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Noninterest-bearing deposits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379,483 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365,291 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349,839 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33,486 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32,898 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34,072 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noninterest-bearing liabilities</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412,969 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398,189 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383,911 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shareholders’ equity</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285,146 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276,831 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259,053 </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shareholders’ equity</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3,214,028 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3,128,694 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3,160,896 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Yields/Cost of funds (annualized)</w:t>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Interest-bearing deposits in other financial institutions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Debt securities</w:t>
            </w:r>
          </w:p>
        </w:tc>
        <w:tc>
          <w:tcPr>
            <w:tcW w:w="14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4.33</w:t>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Correspondent bank stock</w:t>
            </w:r>
          </w:p>
        </w:tc>
        <w:tc>
          <w:tcPr>
            <w:tcW w:w="14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8.15</w:t>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Loans</w:t>
            </w:r>
          </w:p>
        </w:tc>
        <w:tc>
          <w:tcPr>
            <w:tcW w:w="14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5.78</w:t>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Loan held at fair value</w:t>
            </w:r>
          </w:p>
        </w:tc>
        <w:tc>
          <w:tcPr>
            <w:tcW w:w="14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5.28</w:t>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loans held for sale</w:t>
            </w:r>
          </w:p>
        </w:tc>
        <w:tc>
          <w:tcPr>
            <w:tcW w:w="14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5.59</w:t>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interest-earning assets</w:t>
            </w:r>
          </w:p>
        </w:tc>
        <w:tc>
          <w:tcPr>
            <w:tcW w:w="14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5.59</w:t>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Interest-bearing deposits</w:t>
            </w:r>
          </w:p>
        </w:tc>
        <w:tc>
          <w:tcPr>
            <w:tcW w:w="14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3.63</w:t>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deposits</w:t>
            </w:r>
          </w:p>
        </w:tc>
        <w:tc>
          <w:tcPr>
            <w:tcW w:w="14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3.17</w:t>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FHLB and Federal Reserve borrowings</w:t>
            </w:r>
          </w:p>
        </w:tc>
        <w:tc>
          <w:tcPr>
            <w:tcW w:w="14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3.98</w:t>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Subordinated notes</w:t>
            </w:r>
          </w:p>
        </w:tc>
        <w:tc>
          <w:tcPr>
            <w:tcW w:w="14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5.60</w:t>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interest-bearing liabilities</w:t>
            </w:r>
          </w:p>
        </w:tc>
        <w:tc>
          <w:tcPr>
            <w:tcW w:w="14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3.67</w:t>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margin</w:t>
            </w:r>
          </w:p>
        </w:tc>
        <w:tc>
          <w:tcPr>
            <w:tcW w:w="14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w:t>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rate spread</w:t>
            </w:r>
          </w:p>
        </w:tc>
        <w:tc>
          <w:tcPr>
            <w:tcW w:w="14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2"/>
        </w:rPr>
      </w:pPr>
      <w:r>
        <w:rPr>
          <w:rFonts w:ascii="Times New Roman;serif" w:hAnsi="Times New Roman;serif"/>
          <w:b/>
          <w:color w:val="000000"/>
          <w:sz w:val="22"/>
        </w:rPr>
        <w:t>First Western Financial,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Consolidated Financial Summary (unaudited) (continued)</w:t>
      </w:r>
    </w:p>
    <w:tbl>
      <w:tblPr>
        <w:tblW w:w="9333" w:type="dxa"/>
        <w:jc w:val="left"/>
        <w:tblInd w:w="0" w:type="dxa"/>
        <w:tblLayout w:type="fixed"/>
        <w:tblCellMar>
          <w:top w:w="28" w:type="dxa"/>
          <w:left w:w="28" w:type="dxa"/>
          <w:bottom w:w="28" w:type="dxa"/>
          <w:right w:w="28" w:type="dxa"/>
        </w:tblCellMar>
      </w:tblPr>
      <w:tblGrid>
        <w:gridCol w:w="1541"/>
        <w:gridCol w:w="1355"/>
        <w:gridCol w:w="1364"/>
        <w:gridCol w:w="211"/>
        <w:gridCol w:w="976"/>
        <w:gridCol w:w="271"/>
        <w:gridCol w:w="109"/>
        <w:gridCol w:w="109"/>
        <w:gridCol w:w="109"/>
        <w:gridCol w:w="211"/>
        <w:gridCol w:w="976"/>
        <w:gridCol w:w="271"/>
        <w:gridCol w:w="109"/>
        <w:gridCol w:w="109"/>
        <w:gridCol w:w="109"/>
        <w:gridCol w:w="211"/>
        <w:gridCol w:w="976"/>
        <w:gridCol w:w="316"/>
      </w:tblGrid>
      <w:tr>
        <w:trPr/>
        <w:tc>
          <w:tcPr>
            <w:tcW w:w="1541"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As of or for the Three Months Ended </w:t>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r>
      <w:tr>
        <w:trPr/>
        <w:tc>
          <w:tcPr>
            <w:tcW w:w="42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(dollars in thousands, except share and per share amounts)</w:t>
            </w:r>
          </w:p>
        </w:tc>
        <w:tc>
          <w:tcPr>
            <w:tcW w:w="14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Asset Quality</w:t>
            </w:r>
          </w:p>
        </w:tc>
        <w:tc>
          <w:tcPr>
            <w:tcW w:w="14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Non-accrual loans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13,253 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16,285 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18,293 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Non-performing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13,253 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16,285 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22,682 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charge-offs (recoveries)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Non-accrual loans to total loans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0.47 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0.60 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0.71 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Non-performing assets to total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 to non-accrual loans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156.83 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124.64 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114.62 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 to total loans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charge-offs to average loans</w:t>
            </w:r>
          </w:p>
        </w:tc>
        <w:tc>
          <w:tcPr>
            <w:tcW w:w="14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Assets Under Management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7,214,885 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7,275,876 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7,433,029 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Market Data</w:t>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Book value per share at period end</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Tangible book value per common share</w:t>
            </w:r>
            <w:r>
              <w:rPr>
                <w:rFonts w:ascii="Times New Roman;serif" w:hAnsi="Times New Roman;serif"/>
                <w:b w:val="false"/>
                <w:color w:val="000000"/>
                <w:sz w:val="13"/>
              </w:rPr>
              <w:t xml:space="preserve">(1) </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outstanding shares, basic</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9,769,564 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9,760,529 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9,717,571 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outstanding shares, diluted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9,981,863 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9,949,307 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9,868,742 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Shares outstanding at period end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9,772,119 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9,765,129 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9,714,711 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Consolidated Capital</w:t>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Tier 1 capital to risk-weighted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9.76 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9.93 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9.80 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CET1 to risk-weighted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capital to risk-weighted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Tier 1 capital to average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Bank Capital</w:t>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Tier 1 capital to risk-weighted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10.79 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11.37 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11.20 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CET1 to risk-weighted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capital to risk-weighted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Tier 1 capital to average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____________________</w:t>
      </w:r>
    </w:p>
    <w:p>
      <w:pPr>
        <w:pStyle w:val="TextBody"/>
        <w:bidi w:val="0"/>
        <w:spacing w:lineRule="auto" w:line="288" w:before="0" w:after="0"/>
        <w:ind w:left="0" w:right="0" w:hanging="18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Represents a Non-GAAP financial measure. See “Reconciliation of Non-GAAP Financial Measures” for a reconciliation of our Non-GAAP measures to the most directly comparable GAAP financial measure.</w:t>
      </w:r>
    </w:p>
    <w:p>
      <w:pPr>
        <w:pStyle w:val="TextBody"/>
        <w:bidi w:val="0"/>
        <w:spacing w:lineRule="auto" w:line="288"/>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*Represents percentages that are not meaningful.</w:t>
      </w: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2"/>
        </w:rPr>
      </w:pPr>
      <w:r>
        <w:rPr>
          <w:rFonts w:ascii="Times New Roman;serif" w:hAnsi="Times New Roman;serif"/>
          <w:b/>
          <w:color w:val="000000"/>
          <w:sz w:val="22"/>
        </w:rPr>
        <w:t>First Western Financial,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Consolidated Financial Summary (unaudited) (continued)</w:t>
      </w: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Reconciliations of Non-GAAP Financial Measures</w:t>
      </w:r>
    </w:p>
    <w:tbl>
      <w:tblPr>
        <w:tblW w:w="10205" w:type="dxa"/>
        <w:jc w:val="left"/>
        <w:tblInd w:w="0" w:type="dxa"/>
        <w:tblLayout w:type="fixed"/>
        <w:tblCellMar>
          <w:top w:w="28" w:type="dxa"/>
          <w:left w:w="28" w:type="dxa"/>
          <w:bottom w:w="28" w:type="dxa"/>
          <w:right w:w="28" w:type="dxa"/>
        </w:tblCellMar>
      </w:tblPr>
      <w:tblGrid>
        <w:gridCol w:w="2029"/>
        <w:gridCol w:w="1770"/>
        <w:gridCol w:w="1782"/>
        <w:gridCol w:w="211"/>
        <w:gridCol w:w="826"/>
        <w:gridCol w:w="271"/>
        <w:gridCol w:w="109"/>
        <w:gridCol w:w="109"/>
        <w:gridCol w:w="109"/>
        <w:gridCol w:w="211"/>
        <w:gridCol w:w="826"/>
        <w:gridCol w:w="271"/>
        <w:gridCol w:w="109"/>
        <w:gridCol w:w="109"/>
        <w:gridCol w:w="109"/>
        <w:gridCol w:w="211"/>
        <w:gridCol w:w="826"/>
        <w:gridCol w:w="317"/>
      </w:tblGrid>
      <w:tr>
        <w:trPr/>
        <w:tc>
          <w:tcPr>
            <w:tcW w:w="2029" w:type="dxa"/>
            <w:tcBorders/>
            <w:vAlign w:val="center"/>
          </w:tcPr>
          <w:p>
            <w:pPr>
              <w:pStyle w:val="TableContents"/>
              <w:bidi w:val="0"/>
              <w:spacing w:before="0" w:after="283"/>
              <w:jc w:val="left"/>
              <w:rPr>
                <w:sz w:val="4"/>
                <w:szCs w:val="4"/>
              </w:rPr>
            </w:pPr>
            <w:r>
              <w:rPr>
                <w:sz w:val="4"/>
                <w:szCs w:val="4"/>
              </w:rPr>
            </w:r>
          </w:p>
        </w:tc>
        <w:tc>
          <w:tcPr>
            <w:tcW w:w="1770" w:type="dxa"/>
            <w:tcBorders/>
            <w:vAlign w:val="center"/>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5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4"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As of or for the Three Months Ended </w:t>
            </w:r>
          </w:p>
        </w:tc>
      </w:tr>
      <w:tr>
        <w:trPr/>
        <w:tc>
          <w:tcPr>
            <w:tcW w:w="5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r>
      <w:tr>
        <w:trPr/>
        <w:tc>
          <w:tcPr>
            <w:tcW w:w="55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(dollars in thousands, except share and per share amounts)</w:t>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5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Tangible Common</w:t>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shareholders' equity</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288,115 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280,593 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261,495 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goodwill and other intangibles,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31,277 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31,325 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31,473 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Tangible common equity</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256,838 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249,268 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230,022 </w:t>
            </w:r>
          </w:p>
        </w:tc>
        <w:tc>
          <w:tcPr>
            <w:tcW w:w="3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shares outstanding, end of period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9,772,119 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9,765,129 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9,714,711 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Tangible common book value per share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23.68 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available to common shareholders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5,981 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5,729 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3,186 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Return on tangible common equity (annualized)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9.31 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9.19 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5.54 </w:t>
            </w:r>
          </w:p>
        </w:tc>
        <w:tc>
          <w:tcPr>
            <w:tcW w:w="3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Efficiency</w:t>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 expense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20,840 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21,217 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20,074 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write-off of capitalized technology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OREO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non-interest expense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20,840 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20,832 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20,066 </w:t>
            </w:r>
          </w:p>
        </w:tc>
        <w:tc>
          <w:tcPr>
            <w:tcW w:w="3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income before non-interest expense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28,119 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28,618 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24,039 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unrealized (loss) gain recognized on equity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(loss) gain on loans accounted for under the fair value option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1"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5581"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5581"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5581"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55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Plus: provision for (release of) credit losses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2,257 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28,866 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28,141 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26,272 </w:t>
            </w:r>
          </w:p>
        </w:tc>
        <w:tc>
          <w:tcPr>
            <w:tcW w:w="3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Efficiency ratio</w:t>
            </w:r>
          </w:p>
        </w:tc>
        <w:tc>
          <w:tcPr>
            <w:tcW w:w="10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72.20 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74.03 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76.38 </w:t>
            </w:r>
          </w:p>
        </w:tc>
        <w:tc>
          <w:tcPr>
            <w:tcW w:w="31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81"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5581"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5581"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5581"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5581"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5581"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5581"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5581"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5581"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5581"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bookmarkStart w:id="1" w:name="myfw-20261022xex992a02.htm"/>
      <w:bookmarkStart w:id="2" w:name="ksmyfw20261022xex992a02"/>
      <w:bookmarkEnd w:id="1"/>
      <w:bookmarkEnd w:id="2"/>
      <w:r>
        <w:rPr/>
        <w:drawing>
          <wp:inline distT="0" distB="0" distL="0" distR="0">
            <wp:extent cx="10153650" cy="7620000"/>
            <wp:effectExtent l="0" t="0" r="0" b="0"/>
            <wp:docPr id="1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2" descr=""/>
                    <pic:cNvPicPr>
                      <a:picLocks noChangeAspect="1" noChangeArrowheads="1"/>
                    </pic:cNvPicPr>
                  </pic:nvPicPr>
                  <pic:blipFill>
                    <a:blip r:embed="rId3"/>
                    <a:stretch>
                      <a:fillRect/>
                    </a:stretch>
                  </pic:blipFill>
                  <pic:spPr bwMode="auto">
                    <a:xfrm>
                      <a:off x="0" y="0"/>
                      <a:ext cx="10153650" cy="76200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18"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jc w:val="center"/>
        <w:rPr>
          <w:color w:val="FFFFFF"/>
          <w:sz w:val="2"/>
        </w:rPr>
      </w:pPr>
      <w:r>
        <w:rPr>
          <w:color w:val="FFFFFF"/>
          <w:sz w:val="2"/>
        </w:rPr>
        <w:t xml:space="preserve">Third Quarter 2026 Conference Call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1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3" descr=""/>
                    <pic:cNvPicPr>
                      <a:picLocks noChangeAspect="1" noChangeArrowheads="1"/>
                    </pic:cNvPicPr>
                  </pic:nvPicPr>
                  <pic:blipFill>
                    <a:blip r:embed="rId4"/>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Safe Harbor 2 This presentation contains “forward-looking statements” within the meaning of Section 27A of the Securities Act of 1933, as amended, and Section 21E of the Securities Exchange Act of 1934, as amended. These forward-looking statements reflect the current views of First Western Financial, Inc.’s (“First Western”) management with respect to, among other things, future events and First Western’s financial performance. These statements are often, but not always, made through the use of words or phrases such as “may,” “should,” “could,” “predict,” “potential,” “believe,” “will likely result,” “expect,” “continue,” “will,” “anticipate,” “seek,” “estimate,” “intend,” “plan,” “position,” “project,” “future” “forecast,” “goal,” “target,” “would” and “outlook,” or the negative variations of those words or other comparable words of a future or forward-looking nature. These forward-looking statements are not historical facts, and are based on current expectations, estimates and projections about First Western’s industry, management’s beliefs and certain assumptions made by management, many of which, by their nature, are inherently uncertain and beyond First Western’s control. Accordingly, First Western cautions you that any such forward-looking statements are not guarantees of future performance and are subject to risks, assumptions and uncertainties that are difficult to predict. Although First Western believes that the expectations reflected in these forward-looking statements are reasonable as of the date made, actual results may prove to be materially different from the results expressed or implied by the forward-looking statements. The following risks and uncertainties, among others, could cause actual results and future events to differ materially from those set forth or contemplated in the forward-looking statements: the risk of geographic concentration in Colorado, Arizona, Wyoming, California, and Montana; the risk of changes in the economy affecting real estate values and liquidity; the risk in our ability to continue to originate residential real estate loans and sell such loans; risks specific to commercial loans and borrowers; the risk of claims and litigation pertaining to our fiduciary responsibilities; the risk of changes in interest rates could reduce our net interest margins and Net interest income; increased credit risk, including as a result of deterioration in economic conditions, could require us to increase our allowance for credit losses and could have a material adverse effect on our results of operations and financial condition; the risk in our ability to maintain a strong core deposit base or other low-cost funding sources. Additional information regarding these and other risks and uncertainties to which our business and future financial performance are subject is contained in our Annual Report on Form 10-K filed with the U.S. Securities and Exchange Commission (“SEC”) on February 27, 2026 and other documents we file with the SEC from time to time. All subsequent written and oral forward-looking statements attributable to First Western or persons acting on First Western’s behalf are expressly qualified in their entirety by this paragraph. Forward-looking statements speak only as of the date of this presentation. First Western undertakes no obligation to publicly update or otherwise revise any forward-looking statements, whether as a result of new information, future events or otherwise (except as required by law). This presentation contains certain non-GAAP financial measures intended to supplement, not substitute for, comparable GAAP measures. Reconciliations of non-GAAP financial measures to GAAP financial measures are provided at the end of this presentation. Numbers in the presentation may not sum due to rounding. Our common stock is not a deposit or savings account. Our common stock is not insured by the Federal Deposit Insurance Corporation or any governmental agency or instrumentality. Except as otherwise indicated, this presentation speaks as of the date hereof. The delivery of this presentation shall not, under any circumstances, create any implication that there has been no change in the affairs of the Company after the date hereof.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2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4" descr=""/>
                    <pic:cNvPicPr>
                      <a:picLocks noChangeAspect="1" noChangeArrowheads="1"/>
                    </pic:cNvPicPr>
                  </pic:nvPicPr>
                  <pic:blipFill>
                    <a:blip r:embed="rId5"/>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157 180 196 164 166 168 62 94 111 154 161 132 122 125 129 76 78 86 255 255 255 Chart color Table color Special Headlines Slide Headlines / Text on light background Primary Colors Secondary Colors Primary Background / Call Out Boxes / Text on dark background Chart color Table Color Tertiary Colors Chart color Table Color Chart Color Chart Color Approved Fonts AaBbCc 123 Lora (bold) Slide Headlines / Special Headlines AaBbCc 123 Lato(regular, bold, italics) Body Copy / Subheadings / Small Text Descriptions Overview of 3Q26 3Q26 Earnings • Net income available to common shareholders of $6.0 million, or $0.60, per diluted share • Diluted earnings per share increased $0.28, or 88%, compared to 3Q25 • Pre-tax, pre-provision net income increased $1.7 million, or 27%, compared to 3Q25 Continued Execution on Strategic Priorities • Continued focus on prudent risk management and a conservative approach to new loan production, supported by new banking talent that is helping drive solid loan growth • Increase in loans held for investment of $95.0 million, or 3.5%, in 3Q26 • Average noninterest-bearing deposits increased 3.9% in 3Q26 • Positive trends in asset quality with an 18.6% decrease in non-performing assets compared to 2Q26 and a 41.6% decrease compared to 3Q25 Positive Trends in Key Metrics • Net interest income increased for the eighth consecutive quarter • Net interest margin increased for the fourth consecutive quarter • Increase in Trust and investment management fees • Continued expense discipline resulted in a decrease in Non-interest expense • Further increase in tangible book value per share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2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5" descr=""/>
                    <pic:cNvPicPr>
                      <a:picLocks noChangeAspect="1" noChangeArrowheads="1"/>
                    </pic:cNvPicPr>
                  </pic:nvPicPr>
                  <pic:blipFill>
                    <a:blip r:embed="rId6"/>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157 180 196 164 166 168 62 94 111 154 161 132 122 125 129 76 78 86 255 255 255 Chart color Table color Special Headlines Slide Headlines / Text on light background Primary Colors Secondary Colors Primary Background / Call Out Boxes / Text on dark background Chart color Table Color Tertiary Colors Chart color Table Color Chart Color Chart Color Approved Fonts AaBbCc 123 Lora (bold) Slide Headlines / Special Headlines AaBbCc 123 Lato(regular, bold, italics) Body Copy / Subheadings / Small Text Descriptions 4 Net Income Available to Common Shareholders and Earnings per Share • Net income of $6.0 million increased 4.4% from 2Q26 and 88% from 3Q25 • Diluted earnings per share of $0.60 increased 5.3% from 2Q26 and 88% from 3Q25 • Tangible book value per share(1) increased 3.0% from $25.53 in 2Q26 to $26.28 in 3Q26 Net Income Available to Common Shareholders Diluted Earnings per Share $3,186 $3,314 $6,208 $5,729 $5,981 3Q25 4Q25 1Q26 2Q26 3Q26 $— $1,000 $2,000 $3,000 $4,000 $5,000 $6,000 $7,000 $0.32 $0.34 $0.63 $0.57 $0.60 3Q25 4Q25 1Q26 2Q26 3Q26 $— $0.20 $0.40 $0.60 $0.80 (1) See Non-GAAP reconciliation within the appendix.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22"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6" descr=""/>
                    <pic:cNvPicPr>
                      <a:picLocks noChangeAspect="1" noChangeArrowheads="1"/>
                    </pic:cNvPicPr>
                  </pic:nvPicPr>
                  <pic:blipFill>
                    <a:blip r:embed="rId7"/>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157 180 196 164 166 168 62 94 111 154 161 132 122 125 129 76 78 86 255 255 255 Chart color Table color Special Headlines Slide Headlines / Text on light background Primary Colors Secondary Colors Primary Background / Call Out Boxes / Text on dark background Chart color Table Color Tertiary Colors Chart color Table Color Chart Color Chart Color Approved Fonts AaBbCc 123 Lora (bold) Slide Headlines / Special Headlines AaBbCc 123 Lato (regular, bold, italics) Body Copy / Subheadings / Small Text Descriptions 5 Loan Portfolio • Total loans held for investment increased $95.0 million primarily due to growth in the 1-4 family residential and Commercial and industrial portfolios • Total loans held for investment increased for the sixth consecutive quarter and Total loans increased 8% year-over-year • New loan production diversified across markets and loan types • New loan production in 3Q26 of $162.6 million with a focus on relationship- based lending • Average rate on new loan production was 6.79% in 3Q26, an increase from 2Q26 and higher than the average rate of loans paying off in 3Q26 3Q25 2Q26 3Q26 Cash, securities and other $ 159,204 $ 182,017 $ 177,437 Consumer and other 12,254 19,236 19,003 Construction and development 230,600 196,954 213,256 1-4 family residential 1,041,990 1,089,697 1,133,089 Non-owner occupied CRE 728,039 768,528 762,884 Owner occupied CRE 191,239 222,514 231,988 Commercial and industrial 225,919 235,148 272,044 Total $ 2,589,245 $ 2,714,094 $ 2,809,701 Loans accounted for at fair value(2) 4,319 1,774 1,157 Total Loans HFI $ 2,593,564 $ 2,715,868 $ 2,810,858 Mortgage loans held for sale 21,806 24,675 18,989 Total Loans $ 2,615,370 $ 2,740,543 $ 2,829,847 (1) Represents unpaid principal balance. Excludes deferred fees, unamortized premiums, basis adjustments, net. (2) Excludes fair value adjustments on loans accounted for under the fair value option. ($ in thousands, as of quarter end) Loan Portfolio Composition(1) Loan Portfolio Details Loan Production &amp; Loan Payoffs Total Loans(1) $2,594 $2,676 $2,718 $2,737 $2,754 $2,741 $2,830 3Q25 4Q25 1Q26 2Q26 3Q26 2Q26 3Q26 $1,000 $1,500 $2,000 $2,500 $3,000 Average Period End $145.7 $146.2 $115.8 $114.7 $162.6 $110.1 $131.3 $95.9 $100.9 $127.0 Production Loan Payoffs 3Q25 4Q25 1Q26 2Q26 3Q26 $0 $50 $100 $150 $200 ($ in millions) ($ in millions)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23"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7" descr=""/>
                    <pic:cNvPicPr>
                      <a:picLocks noChangeAspect="1" noChangeArrowheads="1"/>
                    </pic:cNvPicPr>
                  </pic:nvPicPr>
                  <pic:blipFill>
                    <a:blip r:embed="rId8"/>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157 180 196 164 166 168 62 94 111 154 161 132 122 125 129 76 78 86 255 255 255 Chart color Table color Special Headlines Slide Headlines / Text on light background Primary Colors Secondary Colors Primary Background / Call Out Boxes / Text on dark background Chart color Table Color Tertiary Colors Chart color Table Color Chart Color Chart Color Approved Fonts AaBbCc 123 Lora (bold) Slide Headlines / Special Headlines AaBbCc 123 Lato (regular, bold, italics) Body Copy / Subheadings / Small Text Descriptions 6 Total Deposits • Total deposits increased 2.5% from $2.85 billion in 2Q26 to $2.92 billion in 3Q26 due to growth in noninterest-bearing accounts and money market accounts • Noninterest-bearing deposits increased 10.2% from $381.8 million in 2Q26 to $420.6 million in 3Q26 • Average Noninterest-bearing deposits increased $14.2 million, or 3.9%, from $365.3 million in 2Q26 to $379.5 million in 3Q26 3Q25 2Q26 3Q26 Money market deposit accounts $ 1,988,336 $ 1,975,295 $ 2,004,098 Time deposits 349,533 353,373 354,407 Interest checking accounts 121,901 122,394 124,677 Savings accounts 13,433 13,076 12,465 Noninterest-bearing accounts 375,708 381,826 420,566 Total Deposits $ 2,848,911 $ 2,845,964 $ 2,916,213 Deposit Portfolio Composition Total Deposits $2,772 $2,747 $2,735 $2,733 $2,836 $2,846 $2,916 3Q25 4Q25 1Q26 2Q26 3Q26 2Q26 3Q26 $1,000 $1,500 $2,000 $2,500 $3,000 Average Period End ($ in millions)($ in thousands, as of quarter end)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24"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8" descr=""/>
                    <pic:cNvPicPr>
                      <a:picLocks noChangeAspect="1" noChangeArrowheads="1"/>
                    </pic:cNvPicPr>
                  </pic:nvPicPr>
                  <pic:blipFill>
                    <a:blip r:embed="rId9"/>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157 180 196 164 166 168 62 94 111 154 161 132 122 125 129 76 78 86 255 255 255 Chart color Table color Special Headlines Slide Headlines / Text on light background Primary Colors Secondary Colors Primary Background / Call Out Boxes / Text on dark background Chart color Table Color Tertiary Colors Chart color Table Color Chart Color Chart Color Approved Fonts AaBbCc 123 Lora (bold) Slide Headlines / Special Headlines AaBbCc 123 Lato (regular, bold, italics) Body Copy / Subheadings / Small Text Descriptions 7 Trust and Investment Management • Trust and investment management fees increased $0.1 million from 2Q26 and $0.2 million from 3Q25 • Total assets under management (AUM) decreased $61 million, or 0.8%, during the quarter to $7.21 billion • The decrease in AUM from 2Q26 was primarily attributable to lower market values in low fee account types • Compared to 3Q25, total AUM decreased 2.9% from $7.43 billion due to lower market values in low fee account types, partially offset by increased net contributions • ($ in millions, as of quarter end) Total Assets Under Management $7,433 $7,278 $7,235 $7,276 $7,215 Investment Agency Managed Trust 401(k)/Retirement Directed Trust Custody 3Q25 4Q25 1Q26 2Q26 3Q26 $— $1,000 $2,000 $3,000 $4,000 $5,000 $6,000 $7,000 $8,000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25"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9" descr=""/>
                    <pic:cNvPicPr>
                      <a:picLocks noChangeAspect="1" noChangeArrowheads="1"/>
                    </pic:cNvPicPr>
                  </pic:nvPicPr>
                  <pic:blipFill>
                    <a:blip r:embed="rId10"/>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157 180 196 164 166 168 62 94 111 154 161 132 122 125 129 76 78 86 255 255 255 Chart color Table color Special Headlines Slide Headlines / Text on light background Primary Colors Secondary Colors Primary Background / Call Out Boxes / Text on dark background Chart color Table Color Tertiary Colors Chart color Table Color Chart Color Chart Color Approved Fonts AaBbCc 123 Lora (bold) Slide Headlines / Special Headlines AaBbCc 123 Lato (regular, bold, italics) Body Copy / Subheadings / Small Text Descriptions (1) See Non-GAAP reconciliation within the appendix. Gross Revenue Gross Revenue(1) Gross Revenue(1) 8 $26.3 $26.7 $27.6 $28.1 $28.9 Wealth Management Mortgage 3Q25 4Q25 1Q26 2Q26 3Q26 $— $5.0 $10.0 $15.0 $20.0 $25.0 $30.0 $35.0 • Gross revenue(1) increased 2.8% from $28.1 million in 2Q26 to $28.9 million in 3Q26 • Net interest income increased 5.5% from the prior quarter, primarily driven by a 5 basis point increase in net interest margin and an $81.1 million increase in average interest-earning assets • Non-interest income decreased $0.6 million from the prior quarter, primarily driven by decreases in Net gain on mortgage loans and Bank fees, partially offset by an increase in Trust and investment management fees Non-interest Income $5,806 20.2% Net Interest Income $22,960 79.8% ($ in thousands) ($ in millions)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26"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0" descr=""/>
                    <pic:cNvPicPr>
                      <a:picLocks noChangeAspect="1" noChangeArrowheads="1"/>
                    </pic:cNvPicPr>
                  </pic:nvPicPr>
                  <pic:blipFill>
                    <a:blip r:embed="rId11"/>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157 180 196 164 166 168 62 94 111 154 161 132 122 125 129 76 78 86 255 255 255 Chart color Table color Special Headlines Slide Headlines / Text on light background Primary Colors Secondary Colors Primary Background / Call Out Boxes / Text on dark background Chart color Table Color Tertiary Colors Chart color Table Color Chart Color Chart Color Approved Fonts AaBbCc 123 Lora (bold) Slide Headlines / Special Headlines AaBbCc 123 Lato (regular, bold, italics) Body Copy / Subheadings / Small Text Descriptions 9 Net Interest Income and Net Interest Margin • Net interest income increased $1.2 million, or 5.5%, from $21.8 million in 2Q26 to $23.0 million in 3Q26, primarily driven by a 5 basis point increase in net interest margin and an $81.1 million increase in average interest-earning assets • Interest-earning assets yield increased 7 basis points due to higher loan yields, while cost of funds increased 2 basis points due to higher rates on money market accounts • Net interest income increased 18.0% from 3Q25 primarily driven by a 41 basis point increase in net interest margin and an increase in average interest-earning assets Net Interest Income Net Interest Margin $19,454 $20,577 $20,883 $21,764 $22,960 3Q25 4Q25 1Q26 2Q26 3Q26 $— $5,000 $10,000 $15,000 $20,000 $25,000 2.54% 2.71% 2.81% 2.90% 2.95% 3Q25 4Q25 1Q26 2Q26 3Q26 —% 0.50% 1.00% 1.50% 2.00% 2.50% 3.00% 3.50% 4.00% ($ in thousands)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27"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1" descr=""/>
                    <pic:cNvPicPr>
                      <a:picLocks noChangeAspect="1" noChangeArrowheads="1"/>
                    </pic:cNvPicPr>
                  </pic:nvPicPr>
                  <pic:blipFill>
                    <a:blip r:embed="rId12"/>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157 180 196 164 166 168 62 94 111 154 161 132 122 125 129 76 78 86 255 255 255 Chart color Table color Special Headlines Slide Headlines / Text on light background Primary Colors Secondary Colors Primary Background / Call Out Boxes / Text on dark background Chart color Table Color Tertiary Colors Chart color Table Color Chart Color Chart Color Approved Fonts AaBbCc 123 Lora (bold) Slide Headlines / Special Headlines AaBbCc 123 Lato (regular, bold, italics) Body Copy / Subheadings / Small Text Descriptions 10 Non-Interest Income • Non-interest income decreased $0.6 million, or 9.1%, to $5.8 million from the prior quarter, primarily driven by decreases in Net gain on mortgage loans and Bank fees, partially offset by Trust and investment management fees • The decrease in Net gain on mortgage loans was driven by lower origination volume due to higher mortgage rates • The decrease in Bank fees was driven by decreases in prepayment penalty and swap fees • The increase in Trust and investment management fees was driven by increases in investment agency and managed trust fees Total Non-Interest Income Trust and Investment Management Fees $6,842 $6,079 $6,656 $6,385 $5,806 Trust and Investment Management Fees Bank Fees Net Gain on Mortgage Loans Net gain on OREO Risk Management and Insurance Fees Other 3Q25 4Q25 1Q26 2Q26 3Q26 $(2,000) $— $2,000 $4,000 $6,000 $8,000 $10,000 $4,629 $4,634 $4,751 $4,742 $4,865 3Q25 4Q25 1Q26 2Q26 3Q26 $— $2,000 $4,000 $6,000 ($ in thousands) ($ in thousands)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28"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2" descr=""/>
                    <pic:cNvPicPr>
                      <a:picLocks noChangeAspect="1" noChangeArrowheads="1"/>
                    </pic:cNvPicPr>
                  </pic:nvPicPr>
                  <pic:blipFill>
                    <a:blip r:embed="rId13"/>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157 180 196 164 166 168 62 94 111 154 161 132 122 125 129 76 78 86 255 255 255 Chart color Table color Special Headlines Slide Headlines / Text on light background Primary Colors Secondary Colors Primary Background / Call Out Boxes / Text on dark background Chart color Table Color Tertiary Colors Chart color Table Color Chart Color Chart Color Approved Fonts AaBbCc 123 Lora (bold) Slide Headlines / Special Headlines AaBbCc 123 Lato (regular, bold, italics) Body Copy / Subheadings / Small Text Descriptions 11 Non-Interest Expense and Efficiency Ratio • Non-interest expense decreased to $20.8 million from $21.2 million in the second quarter of 2026, primarily driven by decreases in Technology and information systems and Salaries and employee benefits • The decrease in Technology and information systems was primarily attributable to a $0.4 million nonrecurring charge recorded in 2Q26 • The decrease in Salaries and employee benefits was primarily driven by lower employer payroll taxes • The efficiency ratio improved to 72.20% as of 3Q26, compared to 74.03% as of 2Q26 and 76.38% as of 3Q25 (1) See Non-GAAP reconciliation within the appendix. Adjusted Non-Interest Expense(1) Operating Efficiency Ratio(1) (1) (1) (1) $20,066 $19,996 $20,164 $20,832 $20,840 3Q25 4Q25 1Q26 2Q26 3Q26 $— $5,000 $10,000 $15,000 $20,000 $25,000 76.38% 74.88% 73.11% 74.03% 72.20% 3Q25 4Q25 1Q26 2Q26 3Q26 —% 20.00% 40.00% 60.00% 80.00% 100.00% ($ in thousands)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29"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3" descr=""/>
                    <pic:cNvPicPr>
                      <a:picLocks noChangeAspect="1" noChangeArrowheads="1"/>
                    </pic:cNvPicPr>
                  </pic:nvPicPr>
                  <pic:blipFill>
                    <a:blip r:embed="rId14"/>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157 180 196 164 166 168 62 94 111 154 161 132 122 125 129 76 78 86 255 255 255 Chart color Table color Special Headlines Slide Headlines / Text on light background Primary Colors Secondary Colors Primary Background / Call Out Boxes / Text on dark background Chart color Table Color Tertiary Colors Chart color Table Color Chart Color Chart Color Approved Fonts AaBbCc 123 Lora (bold) Slide Headlines / Special Headlines AaBbCc 123 Lato (regular, bold, italics) Body Copy / Subheadings / Small Text Descriptions 12 Asset Quality • Non-accrual loans decreased $3.0 million to $13.3 million in 3Q26 primarily driven by paydowns • Provision expense of $0.6 million in 3Q26 was primarily driven by loan growth • Non-performing asset ratio decreased to 0.39% in 3Q26 compared to 0.50% in 2Q26 and 0.70% in 3Q25 • ACL/Total loans at 0.74% for 3Q26 compared to 0.75% for 2Q26 Non-Performing Assets/Total Assets Net Charge-Offs/Average Loans 0.70% 0.62% 0.50% 0.50% 0.39% 3Q25 4Q25 1Q26 2Q26 3Q26 —% 0.20% 0.40% 0.60% 0.80% 1.00% 1.20% 0.01% 0.02% 0.00% 0.00% 0.00% 3Q25 4Q25 1Q26 2Q26 3Q26 —% 0.05% 0.10% 0.15% 0.20% 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30"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4" descr=""/>
                    <pic:cNvPicPr>
                      <a:picLocks noChangeAspect="1" noChangeArrowheads="1"/>
                    </pic:cNvPicPr>
                  </pic:nvPicPr>
                  <pic:blipFill>
                    <a:blip r:embed="rId15"/>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157 180 196 164 166 168 62 94 111 154 161 132 122 125 129 76 78 86 255 255 255 Chart color Table color Special Headlines Slide Headlines / Text on light background Primary Colors Secondary Colors Primary Background / Call Out Boxes / Text on dark background Chart color Table Color Tertiary Colors Chart color Table Color Chart Color Chart Color Approved Fonts AaBbCc 123 Lora (bold) Slide Headlines / Special Headlines AaBbCc 123 Lato (regular, bold, italics) Body Copy / Subheadings / Small Text Descriptions 13 Near Term Outlook • First Western's markets continue to perform well and the strength of our balance sheet and franchise provides opportunities to capitalize on market disruption and challenges being faced by competing banks to add new clients and banking talent • Added experienced talent across our markets, positioning us to capitalize on attractive growth opportunities • Loan pipeline remains strong and should continue to result in solid loan growth going forward • Positive trends expected to continue ◦ Solid loan and deposit growth ◦ Improved deposit mix ◦ Continued expansion in net interest margin ◦ More robust business development activities in Wealth Management business ◦ More operating leverage resulting from continued revenue growth with disciplined expense control ◦ No meaningful deterioration expected in asset quality given the trends we are seeing in the portfolio and our clients continuing to perform well • Positive trends in key areas expected to continue, which should result in steady improvement in financial performance and further value being created for shareholders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31"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5" descr=""/>
                    <pic:cNvPicPr>
                      <a:picLocks noChangeAspect="1" noChangeArrowheads="1"/>
                    </pic:cNvPicPr>
                  </pic:nvPicPr>
                  <pic:blipFill>
                    <a:blip r:embed="rId16"/>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14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32"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6" descr=""/>
                    <pic:cNvPicPr>
                      <a:picLocks noChangeAspect="1" noChangeArrowheads="1"/>
                    </pic:cNvPicPr>
                  </pic:nvPicPr>
                  <pic:blipFill>
                    <a:blip r:embed="rId17"/>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157 180 196 164 166 168 62 94 111 154 161 132 122 125 129 76 78 86 255 255 255 Chart color Table color Special Headlines Slide Headlines / Text on light background Primary Colors Secondary Colors Primary Background / Call Out Boxes / Text on dark background Chart color Table Color Tertiary Colors Chart color Table Color Chart Color Chart Color Approved Fonts AaBbCc 123 Lora (bold) Slide Headlines / Special Headlines AaBbCc 123 Lato (regular, bold, italics) Body Copy / Subheadings / Small Text Descriptions 15 Capital and Liquidity Overview Liquidity Funding Sources (as of 09/30/26) (1) See Non-GAAP reconciliation within the appendix. (2) Based on internal policy guidelines. Consolidated Capital Ratios (as of 09/30/26) Tangible Common Equity / TBV per Share(1) ($ in thousands) Liquidity Reserves: Total Available Cash $ 164,251 Unpledged Investment Securities 241,155 Borrowed Funds: Secured: FHLB Available 567,784 FRB Available 19,539 Other: Brokered Remaining Capacity 299,779 Unsecured: Credit Lines 29,000 Total Liquidity Funding Sources $ 1,321,508 Loan-to-Deposit Ratio 96.2 % 9.76% 9.76% 11.80% 8.08% Tier 1 Capital to Risk- Weighted Assets CET1 to Risk- Weighted Assets Total Capital to Risk- Weighted Assets Tier 1 Capital to Average Assets —% 2.00% 4.00% 6.00% 8.00% 10.00% 12.00% 14.00% (2) (TCE $ in thousands) $130,704 $187,139 $208,760 $210,884 $220,695 $224,979 $227,323 $230,022 $234,138 $241,992 $249,268 $256,838 $16.44 $19.87 $21.99 $22.01 $22.83 $23.18 $23.39 $23.68 $24.07 $24.87 $25.53 $26.28 TCE TBV/Share 4Q20 4Q21 4Q22 4Q23 4Q24 1Q25 2Q25 3Q25 4Q25 1Q26 2Q26 3Q26 $— $40,000 $80,000 $120,000 $160,000 $200,000 $240,000 $280,000 $320,000 $— $4 $8 $12 $16 $20 $24 $28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33"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7" descr=""/>
                    <pic:cNvPicPr>
                      <a:picLocks noChangeAspect="1" noChangeArrowheads="1"/>
                    </pic:cNvPicPr>
                  </pic:nvPicPr>
                  <pic:blipFill>
                    <a:blip r:embed="rId18"/>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157 180 196 164 166 168 62 94 111 154 161 132 122 125 129 76 78 86 255 255 255 Chart color Table color Special Headlines Slide Headlines / Text on light background Primary Colors Secondary Colors Primary Background / Call Out Boxes / Text on dark background Chart color Table Color Tertiary Colors Chart color Table Color Chart Color Chart Color Approved Fonts AaBbCc 123 Lora (bold) Slide Headlines / Special Headlines AaBbCc 123 Lato (regular, bold, italics) Body Copy / Subheadings / Small Text Descriptions 16 Non-GAAP Reconciliation Consolidated Tangible Common Book Value Per Share (Dollars in thousands) September 30, 2025 December 31, 2025 March 31, 2026 June 30, 2026 September 30, 2026 Total shareholders' equity $ 261,495 $ 265,560 $ 273,365 $ 280,593 $ 288,115 Goodwill and other intangibles, net 31,473 31,422 31,373 31,325 31,277 Tangible common equity $ 230,022 $ 234,138 $ 241,992 $ 249,268 $ 256,838 Common shares outstanding, end of period 9,714,711 9,725,731 9,728,968 9,765,129 9,772,119 Tangible common book value per share $ 23.68 $ 24.07 $ 24.87 $ 25.53 $ 26.28 Net income available to common shareholders $ 5,981 Return on tangible common equity (annualized) 9.31 %  Consolidated Efficiency Ratio For the Three Months Ended, (Dollars in thousands) September 30, 2025 December 31, 2025 March 31, 2026 June 30, 2026 September 30, 2026 Non-interest expense $ 20,074 $ 21,306 $ 20,164 $ 21,217 $ 20,840 Less: write-off of capitalized technology assets — — — 380 — Less: OREO expenses and write-downs 8 1,310 — 5 — Adjusted non-interest expense $ 20,066 $ 19,996 $ 20,164 $ 20,832 $ 20,840 Net interest income $ 19,454 $ 20,577 $ 20,883 $ 21,764 $ 22,960 Non-interest income 6,842 6,079 6,656 6,385 5,806 Less: unrealized gain (loss) recognized on equity securities 6 (6) (4) (2) (24) Less: net gain (loss) on loans accounted for under the fair value option 18 (44) (39) 10 (76) Adjusted non-interest income $ 6,818 $ 6,129 $ 6,699 $ 6,377 $ 5,906 Adjusted total income $ 26,272 $ 26,706 $ 27,582 $ 28,141 $ 28,866 Efficiency ratio 76.38 % 74.88 % 73.11 % 74.03 % 72.20 %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34"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8" descr=""/>
                    <pic:cNvPicPr>
                      <a:picLocks noChangeAspect="1" noChangeArrowheads="1"/>
                    </pic:cNvPicPr>
                  </pic:nvPicPr>
                  <pic:blipFill>
                    <a:blip r:embed="rId19"/>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157 180 196 164 166 168 62 94 111 154 161 132 122 125 129 76 78 86 255 255 255 Chart color Table color Special Headlines Slide Headlines / Text on light background Primary Colors Secondary Colors Primary Background / Call Out Boxes / Text on dark background Chart color Table Color Tertiary Colors Chart color Table Color Chart Color Chart Color Approved Fonts AaBbCc 123 Lora (bold) Slide Headlines / Special Headlines AaBbCc 123 Lato (regular, bold, italics) Body Copy / Subheadings / Small Text Descriptions 17 Non-GAAP Reconciliation Pre-tax, Pre-Provision Net Income For the Three Months Ended, (Dollars in thousands) September 30, 2025 June 30, 2026 September 30, 2026 Income before income taxes $ 3,965 $ 7,401 $ 7,279 Plus: provision for (release of) credit losses 2,257 (469) 647 Pre-tax, pre-provision net income $ 6,222 $ 6,932 $ 7,926 Allocation of the Allowance for Credit Losses (ACL) As of As of 9/30/2026 As of 12/31/2025 (Dollars in thousands) ACL Amount % of Loans % of ACL %(1) ACL Amount % of Loans % of ACL %(1) Commercial: Construction and Development $ 2,361 1.1 % 11.3 % 7.6 % $ 2,210 1.2 % 10.3 % 7.2 % Non-Owner Occupied CRE 3,731 0.5 18.0 27.2 4,359 0.5 20.4 30.7 Owner Occupied CRE 930 0.4 4.5 8.3 846 0.4 3.9 7.7 Commercial and Industrial 6,135 2.3 29.5 9.6 6,892 3.0 32.1 8.5 Total Commercial 13,157 0.9 63.3 52.7 14,307 1.0 66.7 54.1 Consumer: Cash, Securities and Other 1,252 0.7 6.0 6.3 1,150 0.7 5.4 6.2 Consumer and Other 159 0.8 0.8 0.7 138 0.7 0.6 0.7 1-4 Family Residential 6,217 0.5 29.9 40.3 5,846 0.6 27.3 39.0 Total Consumer 7,628 0.6 36.7 47.3 7,134 0.6 33.3 45.9 Total allowance for credit losses $ 20,785 0.7 % 100.0 % 100.0 % $ 21,441 0.8 % 100.0 % 100.0 % (1) Represents the percentage of loans to total loans in the respective category.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9430</Words>
  <Characters>50933</Characters>
  <CharactersWithSpaces>59841</CharactersWithSpaces>
  <Paragraphs>1107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myfw-20261022xex992a02</dc:title>
</cp:coreProperties>
</file>