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CURRENT REPORT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23, 2026</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FIRST WESTERN FINANCIAL, INC.</w:t>
      </w:r>
    </w:p>
    <w:p>
      <w:pPr>
        <w:pStyle w:val="TextBody"/>
        <w:bidi w:val="0"/>
        <w:spacing w:lineRule="auto" w:line="288" w:before="200" w:after="283"/>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6134" w:type="dxa"/>
        <w:jc w:val="left"/>
        <w:tblInd w:w="0" w:type="dxa"/>
        <w:tblLayout w:type="fixed"/>
        <w:tblCellMar>
          <w:top w:w="28" w:type="dxa"/>
          <w:left w:w="28" w:type="dxa"/>
          <w:bottom w:w="28" w:type="dxa"/>
          <w:right w:w="28" w:type="dxa"/>
        </w:tblCellMar>
      </w:tblPr>
      <w:tblGrid>
        <w:gridCol w:w="1193"/>
        <w:gridCol w:w="1047"/>
        <w:gridCol w:w="1059"/>
        <w:gridCol w:w="394"/>
        <w:gridCol w:w="394"/>
        <w:gridCol w:w="398"/>
        <w:gridCol w:w="481"/>
        <w:gridCol w:w="481"/>
        <w:gridCol w:w="687"/>
      </w:tblGrid>
      <w:tr>
        <w:trPr/>
        <w:tc>
          <w:tcPr>
            <w:tcW w:w="119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Colorado</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37-1442266</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16th Street, Suite 1200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Colorado</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80202</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303.531.8100</w:t>
      </w:r>
    </w:p>
    <w:p>
      <w:pPr>
        <w:pStyle w:val="TextBody"/>
        <w:bidi w:val="0"/>
        <w:spacing w:lineRule="auto" w:line="288" w:before="200" w:after="283"/>
        <w:jc w:val="center"/>
        <w:rPr/>
      </w:pPr>
      <w:r>
        <w:rPr>
          <w:rFonts w:ascii="Times New Roman;serif" w:hAnsi="Times New Roman;serif"/>
          <w:b w:val="false"/>
          <w:color w:val="000000"/>
          <w:sz w:val="20"/>
        </w:rPr>
        <w:t xml:space="preserve">Former name or former address, if changed since last report: </w:t>
      </w:r>
      <w:r>
        <w:rPr>
          <w:rFonts w:ascii="Times New Roman;serif" w:hAnsi="Times New Roman;serif"/>
          <w:b/>
          <w:color w:val="000000"/>
          <w:sz w:val="20"/>
        </w:rPr>
        <w:t>Not Applicable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3"/>
        <w:gridCol w:w="2867"/>
        <w:gridCol w:w="4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6748" w:type="dxa"/>
        <w:jc w:val="left"/>
        <w:tblInd w:w="0" w:type="dxa"/>
        <w:tblLayout w:type="fixed"/>
        <w:tblCellMar>
          <w:top w:w="28" w:type="dxa"/>
          <w:left w:w="28" w:type="dxa"/>
          <w:bottom w:w="28" w:type="dxa"/>
          <w:right w:w="28" w:type="dxa"/>
        </w:tblCellMar>
      </w:tblPr>
      <w:tblGrid>
        <w:gridCol w:w="781"/>
        <w:gridCol w:w="685"/>
        <w:gridCol w:w="694"/>
        <w:gridCol w:w="424"/>
        <w:gridCol w:w="424"/>
        <w:gridCol w:w="426"/>
        <w:gridCol w:w="970"/>
        <w:gridCol w:w="970"/>
        <w:gridCol w:w="137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MYFW</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Stock Market LLC</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July 23, 2026, First Western Financial, Inc. (the “Company”) issued a press release announcing its financial results for the second quarter ended June 30, 2026. A copy of the press release is furnished as Exhibit 99.1 and is incorporated by reference herein.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is being furnished pursuant to Item 2.02 of Form 8-K and shall not be deemed “filed” for purposes of Section 18 of the Securities Exchange Act of 1934, as amended (the “Exchange Act”), or otherwise subject to liabilities of that section, nor shall it be deemed incorporated by reference into any filing under the Securities Act of 1933, as amended (the “Securities Act”), or the Exchange Act, unless specifically identified therein as being incorporated therein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left"/>
        <w:rPr/>
      </w:pPr>
      <w:r>
        <w:rPr>
          <w:rFonts w:ascii="Times New Roman;serif" w:hAnsi="Times New Roman;serif"/>
          <w:b w:val="false"/>
          <w:color w:val="000000"/>
          <w:sz w:val="20"/>
        </w:rPr>
        <w:t>The Company intends to hold an investor call and webcast to discuss its financial results for the second quarter ended June 30, 2026</w:t>
      </w:r>
      <w:r>
        <w:rPr>
          <w:color w:val="000000"/>
        </w:rPr>
        <w:t xml:space="preserve"> </w:t>
      </w:r>
      <w:r>
        <w:rPr>
          <w:rFonts w:ascii="Times New Roman;serif" w:hAnsi="Times New Roman;serif"/>
          <w:b w:val="false"/>
          <w:color w:val="000000"/>
          <w:sz w:val="20"/>
        </w:rPr>
        <w:t>on Friday, July 24, 2026, at 10:00 a.m. Mountain Time. The Company’s presentation to analysts and investors contains additional information about the Company’s financial results for the second quarter ended June 30, 2026 and is furnished as Exhibit 99.2 and is incorporated by reference herein.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99.2, is being furnished pursuant to Item 7.01 of Form 8-K and shall not be deemed “filed” for purposes of Section 18 of the Exchange Act, or otherwise subject to liabilities of that section, nor shall it be deemed incorporated by reference into any filing under the Securities Act or the Exchange Act, unless specifically identified therein as being incorporated therein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718"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544"/>
        <w:gridCol w:w="2544"/>
        <w:gridCol w:w="361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fw-20260630xexx991.htm">
              <w:r>
                <w:rPr>
                  <w:rStyle w:val="InternetLink"/>
                  <w:rFonts w:ascii="Times New Roman;serif" w:hAnsi="Times New Roman;serif"/>
                  <w:b w:val="false"/>
                  <w:color w:val="0000FF"/>
                  <w:sz w:val="20"/>
                  <w:u w:val="single"/>
                </w:rPr>
                <w:t>Press Release issued by First Western Financial, Inc. dated July 23, 2026</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fw-20260723xex992a02.htm">
              <w:r>
                <w:rPr>
                  <w:rStyle w:val="InternetLink"/>
                  <w:rFonts w:ascii="Times New Roman;serif" w:hAnsi="Times New Roman;serif"/>
                  <w:b w:val="false"/>
                  <w:color w:val="0000FF"/>
                  <w:sz w:val="20"/>
                  <w:u w:val="single"/>
                </w:rPr>
                <w:t>First Western Financial, Inc. Earnings Presentation</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30"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197"/>
        <w:gridCol w:w="1197"/>
        <w:gridCol w:w="170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FIRST WESTERN FINANCIAL,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Date: July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Scott C. Wylie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Wylie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bookmarkStart w:id="0" w:name="i65b01e2d43744c94b7ff1728ad6ff336_13261"/>
      <w:bookmarkEnd w:id="0"/>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1600200"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80010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First Western Reports Second Quarter 2026 Financial Results</w:t>
      </w:r>
    </w:p>
    <w:p>
      <w:pPr>
        <w:pStyle w:val="TextBody"/>
        <w:bidi w:val="0"/>
        <w:spacing w:lineRule="auto" w:line="288" w:before="240" w:after="283"/>
        <w:jc w:val="left"/>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Second Quarter 2026 Summary</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Net income available to common shareholders of $5.7 million, or $0.57 per diluted shares, in Q2 2026</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Net interest income increased $0.9 million, or 4.3%, from $20.9 million in Q1 2026 to $21.8 million in Q2 2026</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Net interest margin increased 9 basis points from 2.81% in Q1 2026 to 2.90% in Q2 2026</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2"/>
        </w:rPr>
        <w:t>Average noninterest-bearing deposits increased $17.8 million, or 5.1%, from $347.5 million in Q1 2026 to $365.3 million in Q2 2026</w:t>
      </w:r>
    </w:p>
    <w:p>
      <w:pPr>
        <w:pStyle w:val="TextBody"/>
        <w:bidi w:val="0"/>
        <w:spacing w:before="180" w:after="283"/>
        <w:jc w:val="both"/>
        <w:rPr/>
      </w:pPr>
      <w:r>
        <w:rPr/>
      </w:r>
    </w:p>
    <w:p>
      <w:pPr>
        <w:pStyle w:val="TextBody"/>
        <w:bidi w:val="0"/>
        <w:spacing w:lineRule="auto" w:line="288" w:before="0" w:after="180"/>
        <w:jc w:val="both"/>
        <w:rPr/>
      </w:pPr>
      <w:r>
        <w:rPr>
          <w:rFonts w:ascii="Times New Roman;serif" w:hAnsi="Times New Roman;serif"/>
          <w:b/>
          <w:color w:val="000000"/>
          <w:sz w:val="22"/>
          <w:shd w:fill="FFFFFF" w:val="clear"/>
        </w:rPr>
        <w:t>Denver, Colo</w:t>
      </w:r>
      <w:r>
        <w:rPr>
          <w:rFonts w:ascii="Times New Roman;serif" w:hAnsi="Times New Roman;serif"/>
          <w:b/>
          <w:color w:val="000000"/>
          <w:sz w:val="22"/>
        </w:rPr>
        <w:t xml:space="preserve">., July 23, 2026 </w:t>
      </w:r>
      <w:r>
        <w:rPr>
          <w:color w:val="000000"/>
        </w:rPr>
        <w:t xml:space="preserve">– </w:t>
      </w:r>
      <w:r>
        <w:rPr>
          <w:rFonts w:ascii="Times New Roman;serif" w:hAnsi="Times New Roman;serif"/>
          <w:b w:val="false"/>
          <w:color w:val="000000"/>
          <w:sz w:val="22"/>
        </w:rPr>
        <w:t>F</w:t>
      </w:r>
      <w:r>
        <w:rPr>
          <w:rFonts w:ascii="Times New Roman;serif" w:hAnsi="Times New Roman;serif"/>
          <w:b w:val="false"/>
          <w:color w:val="000000"/>
          <w:sz w:val="22"/>
          <w:shd w:fill="FFFFFF" w:val="clear"/>
        </w:rPr>
        <w:t>irst Western Financial, Inc. (“First Western” or the “Company”) (NASDAQ: MYFW), today reported financial results for the second quarter ended June 30, 2026.</w:t>
      </w:r>
    </w:p>
    <w:p>
      <w:pPr>
        <w:pStyle w:val="TextBody"/>
        <w:bidi w:val="0"/>
        <w:spacing w:lineRule="auto" w:line="288" w:before="0" w:after="180"/>
        <w:jc w:val="both"/>
        <w:rPr/>
      </w:pPr>
      <w:r>
        <w:rPr>
          <w:rFonts w:ascii="Times New Roman;serif" w:hAnsi="Times New Roman;serif"/>
          <w:b w:val="false"/>
          <w:color w:val="000000"/>
          <w:sz w:val="22"/>
          <w:shd w:fill="FFFFFF" w:val="clear"/>
        </w:rPr>
        <w:t>Net income available to common shareholders wa</w:t>
      </w:r>
      <w:r>
        <w:rPr>
          <w:rFonts w:ascii="Times New Roman;serif" w:hAnsi="Times New Roman;serif"/>
          <w:b w:val="false"/>
          <w:color w:val="000000"/>
          <w:sz w:val="22"/>
        </w:rPr>
        <w:t>s $5.7 million, or $0.57 per dil</w:t>
      </w:r>
      <w:r>
        <w:rPr>
          <w:rFonts w:ascii="Times New Roman;serif" w:hAnsi="Times New Roman;serif"/>
          <w:b w:val="false"/>
          <w:color w:val="000000"/>
          <w:sz w:val="22"/>
          <w:shd w:fill="FFFFFF" w:val="clear"/>
        </w:rPr>
        <w:t>uted share, for the second quarter of</w:t>
      </w:r>
      <w:r>
        <w:rPr>
          <w:color w:val="000000"/>
          <w:shd w:fill="FFFFFF" w:val="clear"/>
        </w:rPr>
        <w:t xml:space="preserve"> </w:t>
      </w:r>
      <w:r>
        <w:rPr>
          <w:rFonts w:ascii="Times New Roman;serif" w:hAnsi="Times New Roman;serif"/>
          <w:b w:val="false"/>
          <w:color w:val="000000"/>
          <w:sz w:val="22"/>
          <w:shd w:fill="FFFFFF" w:val="clear"/>
        </w:rPr>
        <w:t>2026. This compares to net income o</w:t>
      </w:r>
      <w:r>
        <w:rPr>
          <w:rFonts w:ascii="Times New Roman;serif" w:hAnsi="Times New Roman;serif"/>
          <w:b w:val="false"/>
          <w:color w:val="000000"/>
          <w:sz w:val="22"/>
        </w:rPr>
        <w:t>f $6.2 million, or $0.63 per dilut</w:t>
      </w:r>
      <w:r>
        <w:rPr>
          <w:rFonts w:ascii="Times New Roman;serif" w:hAnsi="Times New Roman;serif"/>
          <w:b w:val="false"/>
          <w:color w:val="000000"/>
          <w:sz w:val="22"/>
          <w:shd w:fill="FFFFFF" w:val="clear"/>
        </w:rPr>
        <w:t>ed share, for the first</w:t>
      </w:r>
      <w:r>
        <w:rPr>
          <w:color w:val="000000"/>
        </w:rPr>
        <w:t xml:space="preserve"> </w:t>
      </w:r>
      <w:r>
        <w:rPr>
          <w:rFonts w:ascii="Times New Roman;serif" w:hAnsi="Times New Roman;serif"/>
          <w:b w:val="false"/>
          <w:color w:val="000000"/>
          <w:sz w:val="22"/>
        </w:rPr>
        <w:t>q</w:t>
      </w:r>
      <w:r>
        <w:rPr>
          <w:rFonts w:ascii="Times New Roman;serif" w:hAnsi="Times New Roman;serif"/>
          <w:b w:val="false"/>
          <w:color w:val="000000"/>
          <w:sz w:val="22"/>
          <w:shd w:fill="FFFFFF" w:val="clear"/>
        </w:rPr>
        <w:t>uarter of 2026, and net income</w:t>
      </w:r>
      <w:r>
        <w:rPr>
          <w:color w:val="000000"/>
        </w:rPr>
        <w:t xml:space="preserve"> </w:t>
      </w:r>
      <w:r>
        <w:rPr>
          <w:rFonts w:ascii="Times New Roman;serif" w:hAnsi="Times New Roman;serif"/>
          <w:b w:val="false"/>
          <w:color w:val="000000"/>
          <w:sz w:val="22"/>
        </w:rPr>
        <w:t>of $2.5 million, or $0.26 p</w:t>
      </w:r>
      <w:r>
        <w:rPr>
          <w:rFonts w:ascii="Times New Roman;serif" w:hAnsi="Times New Roman;serif"/>
          <w:b w:val="false"/>
          <w:color w:val="000000"/>
          <w:sz w:val="22"/>
          <w:shd w:fill="FFFFFF" w:val="clear"/>
        </w:rPr>
        <w:t>er diluted share, for the second quarter of 2025.</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Scott C. Wylie, CEO of First Western, commented, “Our second quarter performance reflected continued execution across the franchise, highlighted by growth in net interest income, expansion in our net interest margin, disciplined expense management, stable asset quality, and positive noninterest-bearing deposit trends. Healthy economic activity across our markets continues to support high quality loan demand, while our focus on relationship-based banking is helping us steadily expand our deposit base. Coupled with careful balance sheet management, these efforts contributed to further growth in both book value and tangible book value per share during the quarter.</w:t>
      </w:r>
    </w:p>
    <w:p>
      <w:pPr>
        <w:pStyle w:val="TextBody"/>
        <w:bidi w:val="0"/>
        <w:spacing w:before="0" w:after="0"/>
        <w:jc w:val="both"/>
        <w:rPr/>
      </w:pPr>
      <w:r>
        <w:rPr/>
      </w:r>
    </w:p>
    <w:p>
      <w:pPr>
        <w:pStyle w:val="TextBody"/>
        <w:bidi w:val="0"/>
        <w:spacing w:lineRule="auto" w:line="276"/>
        <w:jc w:val="left"/>
        <w:rPr>
          <w:color w:val="000000"/>
        </w:rPr>
      </w:pPr>
      <w:r>
        <w:rPr>
          <w:color w:val="000000"/>
        </w:rPr>
        <w:t>“</w:t>
      </w:r>
      <w:r>
        <w:rPr>
          <w:rFonts w:ascii="Times New Roman;serif" w:hAnsi="Times New Roman;serif"/>
          <w:b w:val="false"/>
          <w:color w:val="000000"/>
          <w:sz w:val="22"/>
        </w:rPr>
        <w:t>Supported by strong loan and deposit pipelines and favorable trends across our business, we are well positioned to build on our momentum and continue delivering attractive financial performance and long-term value for our shareholders throughout 2026,” said Mr. Wylie.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42" w:type="dxa"/>
        <w:jc w:val="left"/>
        <w:tblInd w:w="0" w:type="dxa"/>
        <w:tblLayout w:type="fixed"/>
        <w:tblCellMar>
          <w:top w:w="28" w:type="dxa"/>
          <w:left w:w="28" w:type="dxa"/>
          <w:bottom w:w="28" w:type="dxa"/>
          <w:right w:w="28" w:type="dxa"/>
        </w:tblCellMar>
      </w:tblPr>
      <w:tblGrid>
        <w:gridCol w:w="1567"/>
        <w:gridCol w:w="1379"/>
        <w:gridCol w:w="1388"/>
        <w:gridCol w:w="211"/>
        <w:gridCol w:w="721"/>
        <w:gridCol w:w="271"/>
        <w:gridCol w:w="109"/>
        <w:gridCol w:w="109"/>
        <w:gridCol w:w="109"/>
        <w:gridCol w:w="211"/>
        <w:gridCol w:w="721"/>
        <w:gridCol w:w="271"/>
        <w:gridCol w:w="109"/>
        <w:gridCol w:w="109"/>
        <w:gridCol w:w="109"/>
        <w:gridCol w:w="211"/>
        <w:gridCol w:w="721"/>
        <w:gridCol w:w="316"/>
      </w:tblGrid>
      <w:tr>
        <w:trPr/>
        <w:tc>
          <w:tcPr>
            <w:tcW w:w="1567"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For the Three Months Ended</w:t>
            </w:r>
            <w:r>
              <w:rPr>
                <w:color w:val="000000"/>
              </w:rPr>
              <w:t xml:space="preserve"> </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per share data)</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Earnings Summary</w:t>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 (annualized)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shareholders' equity (annualized)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Return on tangible common equity (annualized)</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Efficiency ratio</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Represents a Non-GAAP financial measure. See “Reconciliations of Non-GAAP Financial Measures” for a reconciliation of our Non-GAAP measures to the </w:t>
      </w:r>
      <w:r>
        <w:rPr>
          <w:rFonts w:ascii="Times New Roman;serif" w:hAnsi="Times New Roman;serif"/>
          <w:b w:val="false"/>
          <w:color w:val="000000"/>
          <w:sz w:val="16"/>
          <w:shd w:fill="FFFFFF" w:val="clear"/>
        </w:rPr>
        <w:t>most directly comparable GAAP financial measure.</w:t>
      </w:r>
    </w:p>
    <w:p>
      <w:pPr>
        <w:pStyle w:val="TextBody"/>
        <w:bidi w:val="0"/>
        <w:spacing w:lineRule="auto" w:line="288" w:before="240" w:after="283"/>
        <w:jc w:val="left"/>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Operating Results for the Second Quarter 2026</w:t>
      </w:r>
    </w:p>
    <w:p>
      <w:pPr>
        <w:pStyle w:val="TextBody"/>
        <w:bidi w:val="0"/>
        <w:spacing w:lineRule="auto" w:line="288" w:before="240" w:after="283"/>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Revenue</w:t>
      </w:r>
    </w:p>
    <w:p>
      <w:pPr>
        <w:pStyle w:val="TextBody"/>
        <w:bidi w:val="0"/>
        <w:spacing w:lineRule="auto" w:line="288" w:before="240" w:after="283"/>
        <w:jc w:val="both"/>
        <w:rPr/>
      </w:pPr>
      <w:r>
        <w:rPr>
          <w:rFonts w:ascii="Times New Roman;serif" w:hAnsi="Times New Roman;serif"/>
          <w:b w:val="false"/>
          <w:color w:val="0A0A0A"/>
          <w:sz w:val="22"/>
          <w:shd w:fill="FFFFFF" w:val="clear"/>
        </w:rPr>
        <w:t xml:space="preserve">Total income before non-interest expense was </w:t>
      </w:r>
      <w:r>
        <w:rPr>
          <w:rFonts w:ascii="Times New Roman;serif" w:hAnsi="Times New Roman;serif"/>
          <w:b w:val="false"/>
          <w:color w:val="000000"/>
          <w:sz w:val="22"/>
        </w:rPr>
        <w:t>$28.6 million</w:t>
      </w:r>
      <w:r>
        <w:rPr>
          <w:color w:val="0A0A0A"/>
        </w:rPr>
        <w:t xml:space="preserve"> </w:t>
      </w:r>
      <w:r>
        <w:rPr>
          <w:rFonts w:ascii="Times New Roman;serif" w:hAnsi="Times New Roman;serif"/>
          <w:b w:val="false"/>
          <w:color w:val="0A0A0A"/>
          <w:sz w:val="22"/>
        </w:rPr>
        <w:t>for th</w:t>
      </w:r>
      <w:r>
        <w:rPr>
          <w:rFonts w:ascii="Times New Roman;serif" w:hAnsi="Times New Roman;serif"/>
          <w:b w:val="false"/>
          <w:color w:val="0A0A0A"/>
          <w:sz w:val="22"/>
          <w:shd w:fill="FFFFFF" w:val="clear"/>
        </w:rPr>
        <w:t xml:space="preserve">e </w:t>
      </w:r>
      <w:r>
        <w:rPr>
          <w:rFonts w:ascii="Times New Roman;serif" w:hAnsi="Times New Roman;serif"/>
          <w:b w:val="false"/>
          <w:color w:val="000000"/>
          <w:sz w:val="22"/>
          <w:shd w:fill="FFFFFF" w:val="clear"/>
        </w:rPr>
        <w:t>second quarter of</w:t>
      </w:r>
      <w:r>
        <w:rPr>
          <w:color w:val="000000"/>
          <w:shd w:fill="FFFFFF" w:val="clear"/>
        </w:rPr>
        <w:t xml:space="preserve"> </w:t>
      </w:r>
      <w:r>
        <w:rPr>
          <w:rFonts w:ascii="Times New Roman;serif" w:hAnsi="Times New Roman;serif"/>
          <w:b w:val="false"/>
          <w:color w:val="000000"/>
          <w:sz w:val="22"/>
          <w:shd w:fill="FFFFFF" w:val="clear"/>
        </w:rPr>
        <w:t>2026</w:t>
      </w:r>
      <w:r>
        <w:rPr>
          <w:rFonts w:ascii="Times New Roman;serif" w:hAnsi="Times New Roman;serif"/>
          <w:b w:val="false"/>
          <w:color w:val="0A0A0A"/>
          <w:sz w:val="22"/>
          <w:shd w:fill="FFFFFF" w:val="clear"/>
        </w:rPr>
        <w:t xml:space="preserve">, </w:t>
      </w:r>
      <w:r>
        <w:rPr>
          <w:rFonts w:ascii="Times New Roman;serif" w:hAnsi="Times New Roman;serif"/>
          <w:b w:val="false"/>
          <w:color w:val="0A0A0A"/>
          <w:sz w:val="22"/>
        </w:rPr>
        <w:t xml:space="preserve">an increase of </w:t>
      </w:r>
      <w:r>
        <w:rPr>
          <w:rFonts w:ascii="Times New Roman;serif" w:hAnsi="Times New Roman;serif"/>
          <w:b w:val="false"/>
          <w:color w:val="000000"/>
          <w:sz w:val="22"/>
        </w:rPr>
        <w:t xml:space="preserve">1.1% </w:t>
      </w:r>
      <w:r>
        <w:rPr>
          <w:rFonts w:ascii="Times New Roman;serif" w:hAnsi="Times New Roman;serif"/>
          <w:b w:val="false"/>
          <w:color w:val="0A0A0A"/>
          <w:sz w:val="22"/>
        </w:rPr>
        <w:t xml:space="preserve">from </w:t>
      </w:r>
      <w:r>
        <w:rPr>
          <w:rFonts w:ascii="Times New Roman;serif" w:hAnsi="Times New Roman;serif"/>
          <w:b w:val="false"/>
          <w:color w:val="000000"/>
          <w:sz w:val="22"/>
        </w:rPr>
        <w:t>$28.3 million</w:t>
      </w:r>
      <w:r>
        <w:rPr>
          <w:color w:val="0A0A0A"/>
        </w:rPr>
        <w:t xml:space="preserve"> </w:t>
      </w:r>
      <w:r>
        <w:rPr>
          <w:rFonts w:ascii="Times New Roman;serif" w:hAnsi="Times New Roman;serif"/>
          <w:b w:val="false"/>
          <w:color w:val="0A0A0A"/>
          <w:sz w:val="22"/>
        </w:rPr>
        <w:t xml:space="preserve">for the </w:t>
      </w:r>
      <w:r>
        <w:rPr>
          <w:rFonts w:ascii="Times New Roman;serif" w:hAnsi="Times New Roman;serif"/>
          <w:b w:val="false"/>
          <w:color w:val="000000"/>
          <w:sz w:val="22"/>
        </w:rPr>
        <w:t>first quarter of 2026</w:t>
      </w:r>
      <w:r>
        <w:rPr>
          <w:rFonts w:ascii="Times New Roman;serif" w:hAnsi="Times New Roman;serif"/>
          <w:b w:val="false"/>
          <w:color w:val="0A0A0A"/>
          <w:sz w:val="22"/>
        </w:rPr>
        <w:t>. Gross revenue</w:t>
      </w:r>
      <w:r>
        <w:rPr>
          <w:rFonts w:ascii="Times New Roman;serif" w:hAnsi="Times New Roman;serif"/>
          <w:b w:val="false"/>
          <w:color w:val="0A0A0A"/>
          <w:sz w:val="14"/>
        </w:rPr>
        <w:t>(1)</w:t>
      </w:r>
      <w:r>
        <w:rPr>
          <w:color w:val="0A0A0A"/>
        </w:rPr>
        <w:t xml:space="preserve"> </w:t>
      </w:r>
      <w:r>
        <w:rPr>
          <w:rFonts w:ascii="Times New Roman;serif" w:hAnsi="Times New Roman;serif"/>
          <w:b w:val="false"/>
          <w:color w:val="0A0A0A"/>
          <w:sz w:val="22"/>
        </w:rPr>
        <w:t xml:space="preserve">was $28.1 million for the </w:t>
      </w:r>
      <w:r>
        <w:rPr>
          <w:rFonts w:ascii="Times New Roman;serif" w:hAnsi="Times New Roman;serif"/>
          <w:b w:val="false"/>
          <w:color w:val="000000"/>
          <w:sz w:val="22"/>
          <w:shd w:fill="FFFFFF" w:val="clear"/>
        </w:rPr>
        <w:t>second quarter of</w:t>
      </w:r>
      <w:r>
        <w:rPr>
          <w:color w:val="000000"/>
          <w:shd w:fill="FFFFFF" w:val="clear"/>
        </w:rPr>
        <w:t xml:space="preserve"> </w:t>
      </w:r>
      <w:r>
        <w:rPr>
          <w:rFonts w:ascii="Times New Roman;serif" w:hAnsi="Times New Roman;serif"/>
          <w:b w:val="false"/>
          <w:color w:val="000000"/>
          <w:sz w:val="22"/>
          <w:shd w:fill="FFFFFF" w:val="clear"/>
        </w:rPr>
        <w:t>2026</w:t>
      </w:r>
      <w:r>
        <w:rPr>
          <w:rFonts w:ascii="Times New Roman;serif" w:hAnsi="Times New Roman;serif"/>
          <w:b w:val="false"/>
          <w:color w:val="0A0A0A"/>
          <w:sz w:val="22"/>
        </w:rPr>
        <w:t xml:space="preserve">, an increase of </w:t>
      </w:r>
      <w:r>
        <w:rPr>
          <w:rFonts w:ascii="Times New Roman;serif" w:hAnsi="Times New Roman;serif"/>
          <w:b w:val="false"/>
          <w:color w:val="000000"/>
          <w:sz w:val="22"/>
        </w:rPr>
        <w:t>1.8%</w:t>
      </w:r>
      <w:r>
        <w:rPr>
          <w:color w:val="0A0A0A"/>
        </w:rPr>
        <w:t xml:space="preserve"> </w:t>
      </w:r>
      <w:r>
        <w:rPr>
          <w:rFonts w:ascii="Times New Roman;serif" w:hAnsi="Times New Roman;serif"/>
          <w:b w:val="false"/>
          <w:color w:val="0A0A0A"/>
          <w:sz w:val="22"/>
        </w:rPr>
        <w:t xml:space="preserve">from $27.6 million for the </w:t>
      </w:r>
      <w:r>
        <w:rPr>
          <w:rFonts w:ascii="Times New Roman;serif" w:hAnsi="Times New Roman;serif"/>
          <w:b w:val="false"/>
          <w:color w:val="000000"/>
          <w:sz w:val="22"/>
          <w:shd w:fill="FFFFFF" w:val="clear"/>
        </w:rPr>
        <w:t>first</w:t>
      </w:r>
      <w:r>
        <w:rPr>
          <w:color w:val="000000"/>
        </w:rPr>
        <w:t xml:space="preserve"> </w:t>
      </w:r>
      <w:r>
        <w:rPr>
          <w:rFonts w:ascii="Times New Roman;serif" w:hAnsi="Times New Roman;serif"/>
          <w:b w:val="false"/>
          <w:color w:val="000000"/>
          <w:sz w:val="22"/>
        </w:rPr>
        <w:t>q</w:t>
      </w:r>
      <w:r>
        <w:rPr>
          <w:rFonts w:ascii="Times New Roman;serif" w:hAnsi="Times New Roman;serif"/>
          <w:b w:val="false"/>
          <w:color w:val="000000"/>
          <w:sz w:val="22"/>
          <w:shd w:fill="FFFFFF" w:val="clear"/>
        </w:rPr>
        <w:t>uarter of 2026</w:t>
      </w:r>
      <w:r>
        <w:rPr>
          <w:rFonts w:ascii="Times New Roman;serif" w:hAnsi="Times New Roman;serif"/>
          <w:b w:val="false"/>
          <w:color w:val="0A0A0A"/>
          <w:sz w:val="22"/>
        </w:rPr>
        <w:t xml:space="preserve">. Relative to the </w:t>
      </w:r>
      <w:r>
        <w:rPr>
          <w:rFonts w:ascii="Times New Roman;serif" w:hAnsi="Times New Roman;serif"/>
          <w:b w:val="false"/>
          <w:color w:val="000000"/>
          <w:sz w:val="22"/>
          <w:shd w:fill="FFFFFF" w:val="clear"/>
        </w:rPr>
        <w:t>first</w:t>
      </w:r>
      <w:r>
        <w:rPr>
          <w:color w:val="000000"/>
        </w:rPr>
        <w:t xml:space="preserve"> </w:t>
      </w:r>
      <w:r>
        <w:rPr>
          <w:rFonts w:ascii="Times New Roman;serif" w:hAnsi="Times New Roman;serif"/>
          <w:b w:val="false"/>
          <w:color w:val="000000"/>
          <w:sz w:val="22"/>
        </w:rPr>
        <w:t>q</w:t>
      </w:r>
      <w:r>
        <w:rPr>
          <w:rFonts w:ascii="Times New Roman;serif" w:hAnsi="Times New Roman;serif"/>
          <w:b w:val="false"/>
          <w:color w:val="000000"/>
          <w:sz w:val="22"/>
          <w:shd w:fill="FFFFFF" w:val="clear"/>
        </w:rPr>
        <w:t xml:space="preserve">uarter of 2026, </w:t>
      </w:r>
      <w:r>
        <w:rPr>
          <w:rFonts w:ascii="Times New Roman;serif" w:hAnsi="Times New Roman;serif"/>
          <w:b w:val="false"/>
          <w:color w:val="000000"/>
          <w:sz w:val="22"/>
        </w:rPr>
        <w:t>t</w:t>
      </w:r>
      <w:r>
        <w:rPr>
          <w:rFonts w:ascii="Times New Roman;serif" w:hAnsi="Times New Roman;serif"/>
          <w:b w:val="false"/>
          <w:color w:val="0A0A0A"/>
          <w:sz w:val="22"/>
        </w:rPr>
        <w:t xml:space="preserve">he </w:t>
      </w:r>
      <w:r>
        <w:rPr>
          <w:rFonts w:ascii="Times New Roman;serif" w:hAnsi="Times New Roman;serif"/>
          <w:b w:val="false"/>
          <w:color w:val="000000"/>
          <w:sz w:val="22"/>
        </w:rPr>
        <w:t>increase</w:t>
      </w:r>
      <w:r>
        <w:rPr>
          <w:color w:val="0A0A0A"/>
        </w:rPr>
        <w:t xml:space="preserve"> </w:t>
      </w:r>
      <w:r>
        <w:rPr>
          <w:rFonts w:ascii="Times New Roman;serif" w:hAnsi="Times New Roman;serif"/>
          <w:b w:val="false"/>
          <w:color w:val="0A0A0A"/>
          <w:sz w:val="22"/>
        </w:rPr>
        <w:t>in Total income before non-interest expense was primarily driven by an increase in Net interest income, partially offset by a decrease in Non-interest income.</w:t>
      </w:r>
      <w:r>
        <w:rPr>
          <w:color w:val="000000"/>
        </w:rPr>
        <w:t xml:space="preserve"> </w:t>
      </w:r>
      <w:r>
        <w:rPr>
          <w:rFonts w:ascii="Times New Roman;serif" w:hAnsi="Times New Roman;serif"/>
          <w:b w:val="false"/>
          <w:color w:val="0A0A0A"/>
          <w:sz w:val="22"/>
        </w:rPr>
        <w:t xml:space="preserve">Relative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w:t>
      </w:r>
      <w:r>
        <w:rPr>
          <w:color w:val="000000"/>
        </w:rPr>
        <w:t xml:space="preserve"> </w:t>
      </w:r>
      <w:r>
        <w:rPr>
          <w:rFonts w:ascii="Times New Roman;serif" w:hAnsi="Times New Roman;serif"/>
          <w:b w:val="false"/>
          <w:color w:val="000000"/>
          <w:sz w:val="22"/>
        </w:rPr>
        <w:t>Total income before non-interest expense increased 27.7% from $22.4 million and Gross revenue increased 16.1% from $24.2 million. Relative to the second quarter of 2025, the increase in Total income before non-interest expense was primarily driven by an increase in Net interest income and a decrease in Provision for credit losses.</w:t>
      </w:r>
    </w:p>
    <w:p>
      <w:pPr>
        <w:pStyle w:val="TextBody"/>
        <w:bidi w:val="0"/>
        <w:spacing w:lineRule="auto" w:line="288" w:before="240" w:after="283"/>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w:t>
      </w:r>
      <w:r>
        <w:rPr>
          <w:rFonts w:ascii="Times New Roman;serif" w:hAnsi="Times New Roman;serif"/>
          <w:b w:val="false"/>
          <w:color w:val="000000"/>
          <w:sz w:val="18"/>
          <w:shd w:fill="FFFFFF" w:val="clear"/>
        </w:rPr>
        <w:t>resents a Non-GAAP financial measure. See “Reconciliations of Non-GAAP Financial Measures” for a reconciliation of our Non-GAAP measures to the most directly comparable GAAP financial measure.</w:t>
      </w:r>
    </w:p>
    <w:p>
      <w:pPr>
        <w:pStyle w:val="TextBody"/>
        <w:bidi w:val="0"/>
        <w:spacing w:lineRule="auto" w:line="288" w:before="240" w:after="283"/>
        <w:jc w:val="both"/>
        <w:rPr>
          <w:rFonts w:ascii="Times New Roman;serif" w:hAnsi="Times New Roman;serif"/>
          <w:b/>
          <w:color w:val="0A0A0A"/>
          <w:sz w:val="22"/>
        </w:rPr>
      </w:pPr>
      <w:r>
        <w:rPr>
          <w:rFonts w:ascii="Times New Roman;serif" w:hAnsi="Times New Roman;serif"/>
          <w:b/>
          <w:color w:val="0A0A0A"/>
          <w:sz w:val="22"/>
        </w:rPr>
        <w:t>Net Interest Margin</w:t>
      </w:r>
    </w:p>
    <w:p>
      <w:pPr>
        <w:pStyle w:val="TextBody"/>
        <w:bidi w:val="0"/>
        <w:spacing w:lineRule="auto" w:line="288" w:before="240" w:after="283"/>
        <w:jc w:val="both"/>
        <w:rPr/>
      </w:pPr>
      <w:r>
        <w:rPr>
          <w:rFonts w:ascii="Times New Roman;serif" w:hAnsi="Times New Roman;serif"/>
          <w:b w:val="false"/>
          <w:color w:val="0A0A0A"/>
          <w:sz w:val="22"/>
        </w:rPr>
        <w:t xml:space="preserve">Net interest margin for the </w:t>
      </w:r>
      <w:r>
        <w:rPr>
          <w:rFonts w:ascii="Times New Roman;serif" w:hAnsi="Times New Roman;serif"/>
          <w:b w:val="false"/>
          <w:color w:val="000000"/>
          <w:sz w:val="22"/>
        </w:rPr>
        <w:t>second quarter of</w:t>
      </w:r>
      <w:r>
        <w:rPr>
          <w:color w:val="000000"/>
        </w:rPr>
        <w:t xml:space="preserve"> </w:t>
      </w:r>
      <w:r>
        <w:rPr>
          <w:rFonts w:ascii="Times New Roman;serif" w:hAnsi="Times New Roman;serif"/>
          <w:b w:val="false"/>
          <w:color w:val="000000"/>
          <w:sz w:val="22"/>
        </w:rPr>
        <w:t>2026 increased</w:t>
      </w:r>
      <w:r>
        <w:rPr>
          <w:color w:val="0A0A0A"/>
        </w:rPr>
        <w:t xml:space="preserve"> </w:t>
      </w:r>
      <w:r>
        <w:rPr>
          <w:rFonts w:ascii="Times New Roman;serif" w:hAnsi="Times New Roman;serif"/>
          <w:b w:val="false"/>
          <w:color w:val="0A0A0A"/>
          <w:sz w:val="22"/>
        </w:rPr>
        <w:t xml:space="preserve">9 basis points to 2.90% from 2.81% reported in the </w:t>
      </w:r>
      <w:r>
        <w:rPr>
          <w:rFonts w:ascii="Times New Roman;serif" w:hAnsi="Times New Roman;serif"/>
          <w:b w:val="false"/>
          <w:color w:val="000000"/>
          <w:sz w:val="22"/>
        </w:rPr>
        <w:t xml:space="preserve">first quarter of 2026, primarily due to a decrease in cost of funds and an improved mix shift in average interest-earning assets. The yield on interest-earning assets increased </w:t>
      </w:r>
      <w:r>
        <w:rPr>
          <w:rFonts w:ascii="Times New Roman;serif" w:hAnsi="Times New Roman;serif"/>
          <w:b w:val="false"/>
          <w:color w:val="0A0A0A"/>
          <w:sz w:val="22"/>
        </w:rPr>
        <w:t>4 basis points</w:t>
      </w:r>
      <w:r>
        <w:rPr>
          <w:color w:val="000000"/>
        </w:rPr>
        <w:t xml:space="preserve"> </w:t>
      </w:r>
      <w:r>
        <w:rPr>
          <w:rFonts w:ascii="Times New Roman;serif" w:hAnsi="Times New Roman;serif"/>
          <w:b w:val="false"/>
          <w:color w:val="000000"/>
          <w:sz w:val="22"/>
        </w:rPr>
        <w:t>to 5.58% from 5.54%</w:t>
      </w:r>
      <w:r>
        <w:rPr>
          <w:color w:val="000000"/>
        </w:rPr>
        <w:t xml:space="preserve"> </w:t>
      </w:r>
      <w:r>
        <w:rPr>
          <w:rFonts w:ascii="Times New Roman;serif" w:hAnsi="Times New Roman;serif"/>
          <w:b w:val="false"/>
          <w:color w:val="000000"/>
          <w:sz w:val="22"/>
        </w:rPr>
        <w:t>reported in the first quarter of 2026, while t</w:t>
      </w:r>
      <w:r>
        <w:rPr>
          <w:rFonts w:ascii="Times New Roman;serif" w:hAnsi="Times New Roman;serif"/>
          <w:b w:val="false"/>
          <w:color w:val="0A0A0A"/>
          <w:sz w:val="22"/>
        </w:rPr>
        <w:t xml:space="preserve">he cost of funds </w:t>
      </w:r>
      <w:r>
        <w:rPr>
          <w:rFonts w:ascii="Times New Roman;serif" w:hAnsi="Times New Roman;serif"/>
          <w:b w:val="false"/>
          <w:color w:val="000000"/>
          <w:sz w:val="22"/>
        </w:rPr>
        <w:t xml:space="preserve">decreased </w:t>
      </w:r>
      <w:r>
        <w:rPr>
          <w:rFonts w:ascii="Times New Roman;serif" w:hAnsi="Times New Roman;serif"/>
          <w:b w:val="false"/>
          <w:color w:val="0A0A0A"/>
          <w:sz w:val="22"/>
        </w:rPr>
        <w:t>4 basis points</w:t>
      </w:r>
      <w:r>
        <w:rPr>
          <w:color w:val="000000"/>
        </w:rPr>
        <w:t xml:space="preserve"> </w:t>
      </w:r>
      <w:r>
        <w:rPr>
          <w:rFonts w:ascii="Times New Roman;serif" w:hAnsi="Times New Roman;serif"/>
          <w:b w:val="false"/>
          <w:color w:val="0A0A0A"/>
          <w:sz w:val="22"/>
        </w:rPr>
        <w:t xml:space="preserve">to 2.86% from 2.90% reported in the </w:t>
      </w:r>
      <w:r>
        <w:rPr>
          <w:rFonts w:ascii="Times New Roman;serif" w:hAnsi="Times New Roman;serif"/>
          <w:b w:val="false"/>
          <w:color w:val="000000"/>
          <w:sz w:val="22"/>
        </w:rPr>
        <w:t>first quarter of 2026. The increase in yield on interest-earning assets was primarily driven by an improved mix shift in average interest-earning assets as a result of increases in average debt security and loan balances in the quarter, and an increase in loan yields. The decrease in cost of funds was primarily driven by an improved mix shift in average deposits as a result of an increase in average noninterest-bearing deposits, and lower rates on time deposit accounts.</w:t>
      </w:r>
    </w:p>
    <w:p>
      <w:pPr>
        <w:pStyle w:val="TextBody"/>
        <w:bidi w:val="0"/>
        <w:spacing w:lineRule="auto" w:line="288" w:before="240" w:after="283"/>
        <w:jc w:val="both"/>
        <w:rPr/>
      </w:pPr>
      <w:r>
        <w:rPr>
          <w:rFonts w:ascii="Times New Roman;serif" w:hAnsi="Times New Roman;serif"/>
          <w:b w:val="false"/>
          <w:color w:val="0A0A0A"/>
          <w:sz w:val="22"/>
        </w:rPr>
        <w:t xml:space="preserve">Relative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net interest margin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00000"/>
          <w:sz w:val="22"/>
        </w:rPr>
        <w:t>23 basis points</w:t>
      </w:r>
      <w:r>
        <w:rPr>
          <w:color w:val="0A0A0A"/>
        </w:rPr>
        <w:t xml:space="preserve"> </w:t>
      </w:r>
      <w:r>
        <w:rPr>
          <w:rFonts w:ascii="Times New Roman;serif" w:hAnsi="Times New Roman;serif"/>
          <w:b w:val="false"/>
          <w:color w:val="0A0A0A"/>
          <w:sz w:val="22"/>
        </w:rPr>
        <w:t xml:space="preserve">from 2.67%, primarily due to a </w:t>
      </w:r>
      <w:r>
        <w:rPr>
          <w:rFonts w:ascii="Times New Roman;serif" w:hAnsi="Times New Roman;serif"/>
          <w:b w:val="false"/>
          <w:color w:val="000000"/>
          <w:sz w:val="22"/>
        </w:rPr>
        <w:t>26 basis point</w:t>
      </w:r>
      <w:r>
        <w:rPr>
          <w:color w:val="0A0A0A"/>
        </w:rPr>
        <w:t xml:space="preserve"> </w:t>
      </w:r>
      <w:r>
        <w:rPr>
          <w:rFonts w:ascii="Times New Roman;serif" w:hAnsi="Times New Roman;serif"/>
          <w:b w:val="false"/>
          <w:color w:val="0A0A0A"/>
          <w:sz w:val="22"/>
        </w:rPr>
        <w:t>decrease in cost of funds, partially offset by a 2 basis point decrease in yield on interest-earning assets.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A0A0A"/>
          <w:sz w:val="22"/>
          <w:shd w:fill="FFFFFF" w:val="clear"/>
        </w:rPr>
      </w:pPr>
      <w:r>
        <w:rPr>
          <w:rFonts w:ascii="Times New Roman;serif" w:hAnsi="Times New Roman;serif"/>
          <w:b/>
          <w:color w:val="0A0A0A"/>
          <w:sz w:val="22"/>
          <w:shd w:fill="FFFFFF" w:val="clear"/>
        </w:rPr>
        <w:t>Net Interest Income</w:t>
      </w:r>
    </w:p>
    <w:p>
      <w:pPr>
        <w:pStyle w:val="TextBody"/>
        <w:bidi w:val="0"/>
        <w:spacing w:lineRule="auto" w:line="288" w:before="240" w:after="283"/>
        <w:jc w:val="both"/>
        <w:rPr/>
      </w:pPr>
      <w:r>
        <w:rPr>
          <w:rFonts w:ascii="Times New Roman;serif" w:hAnsi="Times New Roman;serif"/>
          <w:b w:val="false"/>
          <w:color w:val="0A0A0A"/>
          <w:sz w:val="22"/>
        </w:rPr>
        <w:t xml:space="preserve">Net interest income for the </w:t>
      </w:r>
      <w:r>
        <w:rPr>
          <w:rFonts w:ascii="Times New Roman;serif" w:hAnsi="Times New Roman;serif"/>
          <w:b w:val="false"/>
          <w:color w:val="000000"/>
          <w:sz w:val="22"/>
          <w:shd w:fill="FFFFFF" w:val="clear"/>
        </w:rPr>
        <w:t>second quarter of</w:t>
      </w:r>
      <w:r>
        <w:rPr>
          <w:color w:val="000000"/>
          <w:shd w:fill="FFFFFF" w:val="clear"/>
        </w:rPr>
        <w:t xml:space="preserve"> </w:t>
      </w:r>
      <w:r>
        <w:rPr>
          <w:rFonts w:ascii="Times New Roman;serif" w:hAnsi="Times New Roman;serif"/>
          <w:b w:val="false"/>
          <w:color w:val="000000"/>
          <w:sz w:val="22"/>
          <w:shd w:fill="FFFFFF" w:val="clear"/>
        </w:rPr>
        <w:t>2026</w:t>
      </w:r>
      <w:r>
        <w:rPr>
          <w:color w:val="000000"/>
        </w:rPr>
        <w:t xml:space="preserve"> </w:t>
      </w:r>
      <w:r>
        <w:rPr>
          <w:rFonts w:ascii="Times New Roman;serif" w:hAnsi="Times New Roman;serif"/>
          <w:b w:val="false"/>
          <w:color w:val="0A0A0A"/>
          <w:sz w:val="22"/>
        </w:rPr>
        <w:t xml:space="preserve">was $21.8 million, an increase of </w:t>
      </w:r>
      <w:r>
        <w:rPr>
          <w:rFonts w:ascii="Times New Roman;serif" w:hAnsi="Times New Roman;serif"/>
          <w:b w:val="false"/>
          <w:color w:val="000000"/>
          <w:sz w:val="22"/>
        </w:rPr>
        <w:t>4.3%</w:t>
      </w:r>
      <w:r>
        <w:rPr>
          <w:color w:val="0A0A0A"/>
        </w:rPr>
        <w:t xml:space="preserve"> </w:t>
      </w:r>
      <w:r>
        <w:rPr>
          <w:rFonts w:ascii="Times New Roman;serif" w:hAnsi="Times New Roman;serif"/>
          <w:b w:val="false"/>
          <w:color w:val="0A0A0A"/>
          <w:sz w:val="22"/>
        </w:rPr>
        <w:t xml:space="preserve">from $20.9 million for the </w:t>
      </w:r>
      <w:r>
        <w:rPr>
          <w:rFonts w:ascii="Times New Roman;serif" w:hAnsi="Times New Roman;serif"/>
          <w:b w:val="false"/>
          <w:color w:val="000000"/>
          <w:sz w:val="22"/>
        </w:rPr>
        <w:t>first quarter of 2026</w:t>
      </w:r>
      <w:r>
        <w:rPr>
          <w:rFonts w:ascii="Times New Roman;serif" w:hAnsi="Times New Roman;serif"/>
          <w:b w:val="false"/>
          <w:color w:val="0A0A0A"/>
          <w:sz w:val="22"/>
        </w:rPr>
        <w:t>.</w:t>
      </w:r>
      <w:r>
        <w:rPr>
          <w:color w:val="000000"/>
        </w:rPr>
        <w:t xml:space="preserve"> </w:t>
      </w:r>
      <w:r>
        <w:rPr>
          <w:rFonts w:ascii="Times New Roman;serif" w:hAnsi="Times New Roman;serif"/>
          <w:b w:val="false"/>
          <w:color w:val="000000"/>
          <w:sz w:val="22"/>
        </w:rPr>
        <w:t xml:space="preserve">The </w:t>
      </w:r>
      <w:r>
        <w:rPr>
          <w:rFonts w:ascii="Times New Roman;serif" w:hAnsi="Times New Roman;serif"/>
          <w:b w:val="false"/>
          <w:color w:val="0A0A0A"/>
          <w:sz w:val="22"/>
        </w:rPr>
        <w:t>increase</w:t>
      </w:r>
      <w:r>
        <w:rPr>
          <w:color w:val="000000"/>
        </w:rPr>
        <w:t xml:space="preserve"> </w:t>
      </w:r>
      <w:r>
        <w:rPr>
          <w:rFonts w:ascii="Times New Roman;serif" w:hAnsi="Times New Roman;serif"/>
          <w:b w:val="false"/>
          <w:color w:val="000000"/>
          <w:sz w:val="22"/>
        </w:rPr>
        <w:t xml:space="preserve">quarter-over-quarter was primarily driven by a 9 basis point increase in net interest margin and an increase in day count. </w:t>
      </w:r>
      <w:r>
        <w:rPr>
          <w:rFonts w:ascii="Times New Roman;serif" w:hAnsi="Times New Roman;serif"/>
          <w:b w:val="false"/>
          <w:color w:val="0A0A0A"/>
          <w:sz w:val="22"/>
        </w:rPr>
        <w:t xml:space="preserve">Relative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Net interest income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00000"/>
          <w:sz w:val="22"/>
        </w:rPr>
        <w:t xml:space="preserve">21.8% </w:t>
      </w:r>
      <w:r>
        <w:rPr>
          <w:rFonts w:ascii="Times New Roman;serif" w:hAnsi="Times New Roman;serif"/>
          <w:b w:val="false"/>
          <w:color w:val="0A0A0A"/>
          <w:sz w:val="22"/>
        </w:rPr>
        <w:t xml:space="preserve">from $17.9 million. The increase compared to the </w:t>
      </w:r>
      <w:r>
        <w:rPr>
          <w:rFonts w:ascii="Times New Roman;serif" w:hAnsi="Times New Roman;serif"/>
          <w:b w:val="false"/>
          <w:color w:val="000000"/>
          <w:sz w:val="22"/>
        </w:rPr>
        <w:t>second quarter of 2025</w:t>
      </w:r>
      <w:r>
        <w:rPr>
          <w:color w:val="0A0A0A"/>
        </w:rPr>
        <w:t xml:space="preserve"> </w:t>
      </w:r>
      <w:r>
        <w:rPr>
          <w:rFonts w:ascii="Times New Roman;serif" w:hAnsi="Times New Roman;serif"/>
          <w:b w:val="false"/>
          <w:color w:val="0A0A0A"/>
          <w:sz w:val="22"/>
        </w:rPr>
        <w:t xml:space="preserve">was primarily driven by an increase in average interest-earning assets and a </w:t>
      </w:r>
      <w:r>
        <w:rPr>
          <w:rFonts w:ascii="Times New Roman;serif" w:hAnsi="Times New Roman;serif"/>
          <w:b w:val="false"/>
          <w:color w:val="000000"/>
          <w:sz w:val="22"/>
        </w:rPr>
        <w:t xml:space="preserve">23 basis point </w:t>
      </w:r>
      <w:r>
        <w:rPr>
          <w:rFonts w:ascii="Times New Roman;serif" w:hAnsi="Times New Roman;serif"/>
          <w:b w:val="false"/>
          <w:color w:val="0A0A0A"/>
          <w:sz w:val="22"/>
        </w:rPr>
        <w:t>increase in net interest margin.</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Non-interest Income</w:t>
      </w:r>
    </w:p>
    <w:p>
      <w:pPr>
        <w:pStyle w:val="TextBody"/>
        <w:bidi w:val="0"/>
        <w:spacing w:lineRule="auto" w:line="288" w:before="240" w:after="283"/>
        <w:jc w:val="both"/>
        <w:rPr/>
      </w:pPr>
      <w:r>
        <w:rPr>
          <w:rFonts w:ascii="Times New Roman;serif" w:hAnsi="Times New Roman;serif"/>
          <w:b w:val="false"/>
          <w:color w:val="0A0A0A"/>
          <w:sz w:val="22"/>
        </w:rPr>
        <w:t xml:space="preserve">Non-interest </w:t>
      </w:r>
      <w:r>
        <w:rPr>
          <w:rFonts w:ascii="Times New Roman;serif" w:hAnsi="Times New Roman;serif"/>
          <w:b w:val="false"/>
          <w:color w:val="000000"/>
          <w:sz w:val="22"/>
        </w:rPr>
        <w:t>income for the second quarter of</w:t>
      </w:r>
      <w:r>
        <w:rPr>
          <w:color w:val="000000"/>
        </w:rPr>
        <w:t xml:space="preserve"> </w:t>
      </w:r>
      <w:r>
        <w:rPr>
          <w:rFonts w:ascii="Times New Roman;serif" w:hAnsi="Times New Roman;serif"/>
          <w:b w:val="false"/>
          <w:color w:val="000000"/>
          <w:sz w:val="22"/>
        </w:rPr>
        <w:t>2026 was $6.4 million, a decrease of 4.5% from $6.7 million</w:t>
      </w:r>
      <w:r>
        <w:rPr>
          <w:color w:val="000000"/>
        </w:rPr>
        <w:t xml:space="preserve"> </w:t>
      </w:r>
      <w:r>
        <w:rPr>
          <w:rFonts w:ascii="Times New Roman;serif" w:hAnsi="Times New Roman;serif"/>
          <w:b w:val="false"/>
          <w:color w:val="000000"/>
          <w:sz w:val="22"/>
        </w:rPr>
        <w:t>in the first quarter of 2026. The decrease was primarily driven by decreases in Net gain on mortgage loans and Risk management and insurance fees, partially offset by an increase in Bank fees. The decrease in Net gain on mortgage loans was driven by lower origination volume, while the decrease in Risk management and insurance fees was primarily driven by smaller case size. The increase in Bank fees was driven by increases in prepayment penalty and swap fees.</w:t>
      </w:r>
    </w:p>
    <w:p>
      <w:pPr>
        <w:pStyle w:val="TextBody"/>
        <w:bidi w:val="0"/>
        <w:spacing w:lineRule="auto" w:line="288" w:before="240" w:after="283"/>
        <w:jc w:val="both"/>
        <w:rPr/>
      </w:pPr>
      <w:r>
        <w:rPr>
          <w:rFonts w:ascii="Times New Roman;serif" w:hAnsi="Times New Roman;serif"/>
          <w:b w:val="false"/>
          <w:color w:val="0A0A0A"/>
          <w:sz w:val="22"/>
        </w:rPr>
        <w:t xml:space="preserve">Relative to the </w:t>
      </w:r>
      <w:r>
        <w:rPr>
          <w:rFonts w:ascii="Times New Roman;serif" w:hAnsi="Times New Roman;serif"/>
          <w:b w:val="false"/>
          <w:color w:val="000000"/>
          <w:sz w:val="22"/>
        </w:rPr>
        <w:t>second</w:t>
      </w:r>
      <w:r>
        <w:rPr>
          <w:color w:val="0A0A0A"/>
        </w:rPr>
        <w:t xml:space="preserve"> </w:t>
      </w:r>
      <w:r>
        <w:rPr>
          <w:rFonts w:ascii="Times New Roman;serif" w:hAnsi="Times New Roman;serif"/>
          <w:b w:val="false"/>
          <w:color w:val="0A0A0A"/>
          <w:sz w:val="22"/>
        </w:rPr>
        <w:t xml:space="preserve">quarter of </w:t>
      </w:r>
      <w:r>
        <w:rPr>
          <w:rFonts w:ascii="Times New Roman;serif" w:hAnsi="Times New Roman;serif"/>
          <w:b w:val="false"/>
          <w:color w:val="000000"/>
          <w:sz w:val="22"/>
        </w:rPr>
        <w:t>2025</w:t>
      </w:r>
      <w:r>
        <w:rPr>
          <w:rFonts w:ascii="Times New Roman;serif" w:hAnsi="Times New Roman;serif"/>
          <w:b w:val="false"/>
          <w:color w:val="0A0A0A"/>
          <w:sz w:val="22"/>
        </w:rPr>
        <w:t xml:space="preserve">, Non-interest income increased </w:t>
      </w:r>
      <w:r>
        <w:rPr>
          <w:rFonts w:ascii="Times New Roman;serif" w:hAnsi="Times New Roman;serif"/>
          <w:b w:val="false"/>
          <w:color w:val="000000"/>
          <w:sz w:val="22"/>
        </w:rPr>
        <w:t>$0.1 million</w:t>
      </w:r>
      <w:r>
        <w:rPr>
          <w:rFonts w:ascii="Times New Roman;serif" w:hAnsi="Times New Roman;serif"/>
          <w:b w:val="false"/>
          <w:color w:val="0A0A0A"/>
          <w:sz w:val="22"/>
        </w:rPr>
        <w:t xml:space="preserve">, primarily driven by increases in Trust and investment management fees and Bank fees, offset by a decrease in Net gain on mortgage loans. The increase in Trust and investment management fees was primarily driven by increases in fee income from Investment Agency and Managed Trust accounts. The increase in Bank fees was </w:t>
      </w:r>
      <w:r>
        <w:rPr>
          <w:rFonts w:ascii="Times New Roman;serif" w:hAnsi="Times New Roman;serif"/>
          <w:b w:val="false"/>
          <w:color w:val="000000"/>
          <w:sz w:val="22"/>
        </w:rPr>
        <w:t>driven by increases in prepayment penalty and swap fees. The decrease in Net gain on mortgage loans was primarily driven by lower margins.</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Non-interest Expense</w:t>
      </w:r>
    </w:p>
    <w:p>
      <w:pPr>
        <w:pStyle w:val="TextBody"/>
        <w:bidi w:val="0"/>
        <w:spacing w:lineRule="auto" w:line="288" w:before="240" w:after="283"/>
        <w:jc w:val="both"/>
        <w:rPr/>
      </w:pPr>
      <w:r>
        <w:rPr>
          <w:rFonts w:ascii="Times New Roman;serif" w:hAnsi="Times New Roman;serif"/>
          <w:b w:val="false"/>
          <w:color w:val="0A0A0A"/>
          <w:sz w:val="22"/>
        </w:rPr>
        <w:t xml:space="preserve">Non-interest expense for the </w:t>
      </w:r>
      <w:r>
        <w:rPr>
          <w:rFonts w:ascii="Times New Roman;serif" w:hAnsi="Times New Roman;serif"/>
          <w:b w:val="false"/>
          <w:color w:val="000000"/>
          <w:sz w:val="22"/>
        </w:rPr>
        <w:t>second quarter of</w:t>
      </w:r>
      <w:r>
        <w:rPr>
          <w:color w:val="000000"/>
        </w:rPr>
        <w:t xml:space="preserve"> </w:t>
      </w:r>
      <w:r>
        <w:rPr>
          <w:rFonts w:ascii="Times New Roman;serif" w:hAnsi="Times New Roman;serif"/>
          <w:b w:val="false"/>
          <w:color w:val="000000"/>
          <w:sz w:val="22"/>
        </w:rPr>
        <w:t>2026</w:t>
      </w:r>
      <w:r>
        <w:rPr>
          <w:color w:val="0A0A0A"/>
        </w:rPr>
        <w:t xml:space="preserve"> </w:t>
      </w:r>
      <w:r>
        <w:rPr>
          <w:rFonts w:ascii="Times New Roman;serif" w:hAnsi="Times New Roman;serif"/>
          <w:b w:val="false"/>
          <w:color w:val="0A0A0A"/>
          <w:sz w:val="22"/>
        </w:rPr>
        <w:t xml:space="preserve">was $21.2 million, an </w:t>
      </w:r>
      <w:r>
        <w:rPr>
          <w:rFonts w:ascii="Times New Roman;serif" w:hAnsi="Times New Roman;serif"/>
          <w:b w:val="false"/>
          <w:color w:val="000000"/>
          <w:sz w:val="22"/>
        </w:rPr>
        <w:t>increase</w:t>
      </w:r>
      <w:r>
        <w:rPr>
          <w:color w:val="0A0A0A"/>
        </w:rPr>
        <w:t xml:space="preserve"> </w:t>
      </w:r>
      <w:r>
        <w:rPr>
          <w:rFonts w:ascii="Times New Roman;serif" w:hAnsi="Times New Roman;serif"/>
          <w:b w:val="false"/>
          <w:color w:val="0A0A0A"/>
          <w:sz w:val="22"/>
        </w:rPr>
        <w:t xml:space="preserve">of </w:t>
      </w:r>
      <w:r>
        <w:rPr>
          <w:rFonts w:ascii="Times New Roman;serif" w:hAnsi="Times New Roman;serif"/>
          <w:b w:val="false"/>
          <w:color w:val="000000"/>
          <w:sz w:val="22"/>
        </w:rPr>
        <w:t>5.0%</w:t>
      </w:r>
      <w:r>
        <w:rPr>
          <w:color w:val="0A0A0A"/>
        </w:rPr>
        <w:t xml:space="preserve"> </w:t>
      </w:r>
      <w:r>
        <w:rPr>
          <w:rFonts w:ascii="Times New Roman;serif" w:hAnsi="Times New Roman;serif"/>
          <w:b w:val="false"/>
          <w:color w:val="0A0A0A"/>
          <w:sz w:val="22"/>
        </w:rPr>
        <w:t xml:space="preserve">from $20.2 million in the </w:t>
      </w:r>
      <w:r>
        <w:rPr>
          <w:rFonts w:ascii="Times New Roman;serif" w:hAnsi="Times New Roman;serif"/>
          <w:b w:val="false"/>
          <w:color w:val="000000"/>
          <w:sz w:val="22"/>
        </w:rPr>
        <w:t>first quarter of 2026</w:t>
      </w:r>
      <w:r>
        <w:rPr>
          <w:rFonts w:ascii="Times New Roman;serif" w:hAnsi="Times New Roman;serif"/>
          <w:b w:val="false"/>
          <w:color w:val="0A0A0A"/>
          <w:sz w:val="22"/>
        </w:rPr>
        <w:t xml:space="preserve">. The </w:t>
      </w:r>
      <w:r>
        <w:rPr>
          <w:rFonts w:ascii="Times New Roman;serif" w:hAnsi="Times New Roman;serif"/>
          <w:b w:val="false"/>
          <w:color w:val="000000"/>
          <w:sz w:val="22"/>
        </w:rPr>
        <w:t>increase</w:t>
      </w:r>
      <w:r>
        <w:rPr>
          <w:color w:val="0A0A0A"/>
        </w:rPr>
        <w:t xml:space="preserve"> </w:t>
      </w:r>
      <w:r>
        <w:rPr>
          <w:rFonts w:ascii="Times New Roman;serif" w:hAnsi="Times New Roman;serif"/>
          <w:b w:val="false"/>
          <w:color w:val="0A0A0A"/>
          <w:sz w:val="22"/>
        </w:rPr>
        <w:t>was primarily driven by increases in Technology and information systems, Data processing, and Marketing. The increase in Technology and information systems was primarily attributable to a $0.4 million nonrecurring charge related to the write-off of certain previously capitalized technology assets.</w:t>
      </w:r>
    </w:p>
    <w:p>
      <w:pPr>
        <w:pStyle w:val="TextBody"/>
        <w:bidi w:val="0"/>
        <w:spacing w:lineRule="auto" w:line="288" w:before="240" w:after="283"/>
        <w:jc w:val="both"/>
        <w:rPr/>
      </w:pPr>
      <w:r>
        <w:rPr>
          <w:rFonts w:ascii="Times New Roman;serif" w:hAnsi="Times New Roman;serif"/>
          <w:b w:val="false"/>
          <w:color w:val="0A0A0A"/>
          <w:sz w:val="22"/>
        </w:rPr>
        <w:t xml:space="preserve">Relative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Non-interest expense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00000"/>
          <w:sz w:val="22"/>
        </w:rPr>
        <w:t>11.0%</w:t>
      </w:r>
      <w:r>
        <w:rPr>
          <w:color w:val="0A0A0A"/>
        </w:rPr>
        <w:t xml:space="preserve"> </w:t>
      </w:r>
      <w:r>
        <w:rPr>
          <w:rFonts w:ascii="Times New Roman;serif" w:hAnsi="Times New Roman;serif"/>
          <w:b w:val="false"/>
          <w:color w:val="0A0A0A"/>
          <w:sz w:val="22"/>
        </w:rPr>
        <w:t>from $19.1 million, primarily driven by an increase in Salaries and employee benefits due to an increase in headcount and bonus accruals.</w:t>
      </w:r>
    </w:p>
    <w:p>
      <w:pPr>
        <w:pStyle w:val="TextBody"/>
        <w:bidi w:val="0"/>
        <w:spacing w:lineRule="auto" w:line="288" w:before="240" w:after="283"/>
        <w:jc w:val="both"/>
        <w:rPr/>
      </w:pPr>
      <w:r>
        <w:rPr>
          <w:rFonts w:ascii="Times New Roman;serif" w:hAnsi="Times New Roman;serif"/>
          <w:b w:val="false"/>
          <w:color w:val="0A0A0A"/>
          <w:sz w:val="22"/>
          <w:shd w:fill="FFFFFF" w:val="clear"/>
        </w:rPr>
        <w:t>The Company’s efficiency ratio</w:t>
      </w:r>
      <w:r>
        <w:rPr>
          <w:rFonts w:ascii="Times New Roman;serif" w:hAnsi="Times New Roman;serif"/>
          <w:b w:val="false"/>
          <w:color w:val="0A0A0A"/>
          <w:sz w:val="14"/>
          <w:shd w:fill="FFFFFF" w:val="clear"/>
        </w:rPr>
        <w:t>(1)</w:t>
      </w:r>
      <w:r>
        <w:rPr>
          <w:color w:val="0A0A0A"/>
          <w:shd w:fill="FFFFFF" w:val="clear"/>
        </w:rPr>
        <w:t xml:space="preserve"> </w:t>
      </w:r>
      <w:r>
        <w:rPr>
          <w:rFonts w:ascii="Times New Roman;serif" w:hAnsi="Times New Roman;serif"/>
          <w:b w:val="false"/>
          <w:color w:val="0A0A0A"/>
          <w:sz w:val="22"/>
          <w:shd w:fill="FFFFFF" w:val="clear"/>
        </w:rPr>
        <w:t>w</w:t>
      </w:r>
      <w:r>
        <w:rPr>
          <w:rFonts w:ascii="Times New Roman;serif" w:hAnsi="Times New Roman;serif"/>
          <w:b w:val="false"/>
          <w:color w:val="0A0A0A"/>
          <w:sz w:val="22"/>
        </w:rPr>
        <w:t xml:space="preserve">as 74.0% in the </w:t>
      </w:r>
      <w:r>
        <w:rPr>
          <w:rFonts w:ascii="Times New Roman;serif" w:hAnsi="Times New Roman;serif"/>
          <w:b w:val="false"/>
          <w:color w:val="000000"/>
          <w:sz w:val="22"/>
        </w:rPr>
        <w:t>second quarter o</w:t>
      </w:r>
      <w:r>
        <w:rPr>
          <w:rFonts w:ascii="Times New Roman;serif" w:hAnsi="Times New Roman;serif"/>
          <w:b w:val="false"/>
          <w:color w:val="000000"/>
          <w:sz w:val="22"/>
          <w:shd w:fill="FFFFFF" w:val="clear"/>
        </w:rPr>
        <w:t>f</w:t>
      </w:r>
      <w:r>
        <w:rPr>
          <w:color w:val="000000"/>
          <w:shd w:fill="FFFFFF" w:val="clear"/>
        </w:rPr>
        <w:t xml:space="preserve"> </w:t>
      </w:r>
      <w:r>
        <w:rPr>
          <w:rFonts w:ascii="Times New Roman;serif" w:hAnsi="Times New Roman;serif"/>
          <w:b w:val="false"/>
          <w:color w:val="000000"/>
          <w:sz w:val="22"/>
          <w:shd w:fill="FFFFFF" w:val="clear"/>
        </w:rPr>
        <w:t>2026</w:t>
      </w:r>
      <w:r>
        <w:rPr>
          <w:rFonts w:ascii="Times New Roman;serif" w:hAnsi="Times New Roman;serif"/>
          <w:b w:val="false"/>
          <w:color w:val="0A0A0A"/>
          <w:sz w:val="22"/>
          <w:shd w:fill="FFFFFF" w:val="clear"/>
        </w:rPr>
        <w:t>, compared to</w:t>
      </w:r>
      <w:r>
        <w:rPr>
          <w:color w:val="0A0A0A"/>
        </w:rPr>
        <w:t xml:space="preserve"> </w:t>
      </w:r>
      <w:r>
        <w:rPr>
          <w:rFonts w:ascii="Times New Roman;serif" w:hAnsi="Times New Roman;serif"/>
          <w:b w:val="false"/>
          <w:color w:val="0A0A0A"/>
          <w:sz w:val="22"/>
        </w:rPr>
        <w:t>73.1% i</w:t>
      </w:r>
      <w:r>
        <w:rPr>
          <w:rFonts w:ascii="Times New Roman;serif" w:hAnsi="Times New Roman;serif"/>
          <w:b w:val="false"/>
          <w:color w:val="0A0A0A"/>
          <w:sz w:val="22"/>
          <w:shd w:fill="FFFFFF" w:val="clear"/>
        </w:rPr>
        <w:t xml:space="preserve">n the </w:t>
      </w:r>
      <w:r>
        <w:rPr>
          <w:rFonts w:ascii="Times New Roman;serif" w:hAnsi="Times New Roman;serif"/>
          <w:b w:val="false"/>
          <w:color w:val="000000"/>
          <w:sz w:val="22"/>
          <w:shd w:fill="FFFFFF" w:val="clear"/>
        </w:rPr>
        <w:t>first</w:t>
      </w:r>
      <w:r>
        <w:rPr>
          <w:color w:val="000000"/>
        </w:rPr>
        <w:t xml:space="preserve"> </w:t>
      </w:r>
      <w:r>
        <w:rPr>
          <w:rFonts w:ascii="Times New Roman;serif" w:hAnsi="Times New Roman;serif"/>
          <w:b w:val="false"/>
          <w:color w:val="000000"/>
          <w:sz w:val="22"/>
        </w:rPr>
        <w:t>q</w:t>
      </w:r>
      <w:r>
        <w:rPr>
          <w:rFonts w:ascii="Times New Roman;serif" w:hAnsi="Times New Roman;serif"/>
          <w:b w:val="false"/>
          <w:color w:val="000000"/>
          <w:sz w:val="22"/>
          <w:shd w:fill="FFFFFF" w:val="clear"/>
        </w:rPr>
        <w:t>uarter of 2026</w:t>
      </w:r>
      <w:r>
        <w:rPr>
          <w:color w:val="0A0A0A"/>
          <w:shd w:fill="FFFFFF" w:val="clear"/>
        </w:rPr>
        <w:t xml:space="preserve"> </w:t>
      </w:r>
      <w:r>
        <w:rPr>
          <w:rFonts w:ascii="Times New Roman;serif" w:hAnsi="Times New Roman;serif"/>
          <w:b w:val="false"/>
          <w:color w:val="0A0A0A"/>
          <w:sz w:val="22"/>
          <w:shd w:fill="FFFFFF" w:val="clear"/>
        </w:rPr>
        <w:t>and</w:t>
      </w:r>
      <w:r>
        <w:rPr>
          <w:color w:val="0A0A0A"/>
        </w:rPr>
        <w:t xml:space="preserve"> </w:t>
      </w:r>
      <w:r>
        <w:rPr>
          <w:rFonts w:ascii="Times New Roman;serif" w:hAnsi="Times New Roman;serif"/>
          <w:b w:val="false"/>
          <w:color w:val="0A0A0A"/>
          <w:sz w:val="22"/>
        </w:rPr>
        <w:t xml:space="preserve">78.8% in </w:t>
      </w:r>
      <w:r>
        <w:rPr>
          <w:rFonts w:ascii="Times New Roman;serif" w:hAnsi="Times New Roman;serif"/>
          <w:b w:val="false"/>
          <w:color w:val="0A0A0A"/>
          <w:sz w:val="22"/>
          <w:shd w:fill="FFFFFF" w:val="clear"/>
        </w:rPr>
        <w:t xml:space="preserve">the </w:t>
      </w:r>
      <w:r>
        <w:rPr>
          <w:rFonts w:ascii="Times New Roman;serif" w:hAnsi="Times New Roman;serif"/>
          <w:b w:val="false"/>
          <w:color w:val="000000"/>
          <w:sz w:val="22"/>
          <w:shd w:fill="FFFFFF" w:val="clear"/>
        </w:rPr>
        <w:t>second quarter of 2025</w:t>
      </w:r>
      <w:r>
        <w:rPr>
          <w:rFonts w:ascii="Times New Roman;serif" w:hAnsi="Times New Roman;serif"/>
          <w:b w:val="false"/>
          <w:color w:val="0A0A0A"/>
          <w:sz w:val="22"/>
          <w:shd w:fill="FFFFFF" w:val="clear"/>
        </w:rPr>
        <w:t xml:space="preserve">. </w:t>
      </w:r>
    </w:p>
    <w:p>
      <w:pPr>
        <w:pStyle w:val="TextBody"/>
        <w:bidi w:val="0"/>
        <w:spacing w:lineRule="auto" w:line="288" w:before="240" w:after="283"/>
        <w:ind w:left="0" w:right="0" w:hanging="180"/>
        <w:jc w:val="both"/>
        <w:rPr/>
      </w:pPr>
      <w:r>
        <w:rPr>
          <w:rFonts w:ascii="Times New Roman;serif" w:hAnsi="Times New Roman;serif"/>
          <w:b w:val="false"/>
          <w:color w:val="000000"/>
          <w:sz w:val="10"/>
          <w:shd w:fill="FFFFFF" w:val="clear"/>
        </w:rPr>
        <w:t>(1)</w:t>
      </w:r>
      <w:r>
        <w:rPr>
          <w:color w:val="000000"/>
          <w:shd w:fill="FFFFFF" w:val="clear"/>
        </w:rPr>
        <w:t xml:space="preserve"> </w:t>
      </w:r>
      <w:r>
        <w:rPr>
          <w:rFonts w:ascii="Times New Roman;serif" w:hAnsi="Times New Roman;serif"/>
          <w:b w:val="false"/>
          <w:color w:val="000000"/>
          <w:sz w:val="16"/>
          <w:shd w:fill="FFFFFF" w:val="clear"/>
        </w:rPr>
        <w:t xml:space="preserve">Represents a Non-GAAP financial measure. See “Reconciliations of Non-GAAP Financial Measures” for a reconciliation of our Non-GAAP measures </w:t>
      </w:r>
      <w:r>
        <w:rPr>
          <w:rFonts w:ascii="Times New Roman;serif" w:hAnsi="Times New Roman;serif"/>
          <w:b w:val="false"/>
          <w:color w:val="000000"/>
          <w:sz w:val="16"/>
        </w:rPr>
        <w:t>to the most directly comparable GAAP financial measure.</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Income Taxes</w:t>
      </w:r>
    </w:p>
    <w:p>
      <w:pPr>
        <w:pStyle w:val="TextBody"/>
        <w:bidi w:val="0"/>
        <w:spacing w:lineRule="auto" w:line="288" w:before="240" w:after="283"/>
        <w:jc w:val="both"/>
        <w:rPr/>
      </w:pPr>
      <w:r>
        <w:rPr>
          <w:rFonts w:ascii="Times New Roman;serif" w:hAnsi="Times New Roman;serif"/>
          <w:b w:val="false"/>
          <w:color w:val="0A0A0A"/>
          <w:sz w:val="22"/>
        </w:rPr>
        <w:t xml:space="preserve">The Company recorded Income tax expense of $1.7 million for the </w:t>
      </w:r>
      <w:r>
        <w:rPr>
          <w:rFonts w:ascii="Times New Roman;serif" w:hAnsi="Times New Roman;serif"/>
          <w:b w:val="false"/>
          <w:color w:val="000000"/>
          <w:sz w:val="22"/>
        </w:rPr>
        <w:t>second quarter of</w:t>
      </w:r>
      <w:r>
        <w:rPr>
          <w:color w:val="000000"/>
        </w:rPr>
        <w:t xml:space="preserve"> </w:t>
      </w:r>
      <w:r>
        <w:rPr>
          <w:rFonts w:ascii="Times New Roman;serif" w:hAnsi="Times New Roman;serif"/>
          <w:b w:val="false"/>
          <w:color w:val="000000"/>
          <w:sz w:val="22"/>
        </w:rPr>
        <w:t>2026</w:t>
      </w:r>
      <w:r>
        <w:rPr>
          <w:rFonts w:ascii="Times New Roman;serif" w:hAnsi="Times New Roman;serif"/>
          <w:b w:val="false"/>
          <w:color w:val="0A0A0A"/>
          <w:sz w:val="22"/>
        </w:rPr>
        <w:t xml:space="preserve">, compared to $1.9 million for the </w:t>
      </w:r>
      <w:r>
        <w:rPr>
          <w:rFonts w:ascii="Times New Roman;serif" w:hAnsi="Times New Roman;serif"/>
          <w:b w:val="false"/>
          <w:color w:val="000000"/>
          <w:sz w:val="22"/>
        </w:rPr>
        <w:t>first quarter of 2026,</w:t>
      </w:r>
      <w:r>
        <w:rPr>
          <w:color w:val="0A0A0A"/>
        </w:rPr>
        <w:t xml:space="preserve"> </w:t>
      </w:r>
      <w:r>
        <w:rPr>
          <w:rFonts w:ascii="Times New Roman;serif" w:hAnsi="Times New Roman;serif"/>
          <w:b w:val="false"/>
          <w:color w:val="0A0A0A"/>
          <w:sz w:val="22"/>
        </w:rPr>
        <w:t xml:space="preserve">and $0.8 million for the </w:t>
      </w:r>
      <w:r>
        <w:rPr>
          <w:rFonts w:ascii="Times New Roman;serif" w:hAnsi="Times New Roman;serif"/>
          <w:b w:val="false"/>
          <w:color w:val="000000"/>
          <w:sz w:val="22"/>
        </w:rPr>
        <w:t>second quarter of 2025</w:t>
      </w:r>
      <w:r>
        <w:rPr>
          <w:rFonts w:ascii="Times New Roman;serif" w:hAnsi="Times New Roman;serif"/>
          <w:b w:val="false"/>
          <w:color w:val="0A0A0A"/>
          <w:sz w:val="22"/>
        </w:rPr>
        <w:t>.</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Loans</w:t>
      </w:r>
    </w:p>
    <w:p>
      <w:pPr>
        <w:pStyle w:val="TextBody"/>
        <w:bidi w:val="0"/>
        <w:spacing w:lineRule="auto" w:line="288" w:before="240" w:after="283"/>
        <w:jc w:val="both"/>
        <w:rPr/>
      </w:pPr>
      <w:r>
        <w:rPr>
          <w:rFonts w:ascii="Times New Roman;serif" w:hAnsi="Times New Roman;serif"/>
          <w:b w:val="false"/>
          <w:color w:val="0A0A0A"/>
          <w:sz w:val="22"/>
        </w:rPr>
        <w:t>Total loans held for investment were</w:t>
      </w:r>
      <w:r>
        <w:rPr>
          <w:color w:val="000000"/>
        </w:rPr>
        <w:t xml:space="preserve"> </w:t>
      </w:r>
      <w:r>
        <w:rPr>
          <w:rFonts w:ascii="Times New Roman;serif" w:hAnsi="Times New Roman;serif"/>
          <w:b w:val="false"/>
          <w:color w:val="0A0A0A"/>
          <w:sz w:val="22"/>
        </w:rPr>
        <w:t xml:space="preserve">$2.72 billion as of </w:t>
      </w:r>
      <w:r>
        <w:rPr>
          <w:rFonts w:ascii="Times New Roman;serif" w:hAnsi="Times New Roman;serif"/>
          <w:b w:val="false"/>
          <w:color w:val="000000"/>
          <w:sz w:val="22"/>
        </w:rPr>
        <w:t xml:space="preserve">June 30, 2026, an increase of </w:t>
      </w:r>
      <w:r>
        <w:rPr>
          <w:rFonts w:ascii="Times New Roman;serif" w:hAnsi="Times New Roman;serif"/>
          <w:b w:val="false"/>
          <w:color w:val="0A0A0A"/>
          <w:sz w:val="22"/>
        </w:rPr>
        <w:t>$23.1 million</w:t>
      </w:r>
      <w:r>
        <w:rPr>
          <w:rFonts w:ascii="Times New Roman;serif" w:hAnsi="Times New Roman;serif"/>
          <w:b w:val="false"/>
          <w:color w:val="000000"/>
          <w:sz w:val="22"/>
        </w:rPr>
        <w:t xml:space="preserve">, or </w:t>
      </w:r>
      <w:r>
        <w:rPr>
          <w:rFonts w:ascii="Times New Roman;serif" w:hAnsi="Times New Roman;serif"/>
          <w:b w:val="false"/>
          <w:color w:val="0A0A0A"/>
          <w:sz w:val="22"/>
        </w:rPr>
        <w:t>0.9%</w:t>
      </w:r>
      <w:r>
        <w:rPr>
          <w:rFonts w:ascii="Times New Roman;serif" w:hAnsi="Times New Roman;serif"/>
          <w:b w:val="false"/>
          <w:color w:val="000000"/>
          <w:sz w:val="22"/>
        </w:rPr>
        <w:t xml:space="preserve">, from </w:t>
      </w:r>
      <w:r>
        <w:rPr>
          <w:rFonts w:ascii="Times New Roman;serif" w:hAnsi="Times New Roman;serif"/>
          <w:b w:val="false"/>
          <w:color w:val="0A0A0A"/>
          <w:sz w:val="22"/>
        </w:rPr>
        <w:t xml:space="preserve">$2.69 billion </w:t>
      </w:r>
      <w:r>
        <w:rPr>
          <w:rFonts w:ascii="Times New Roman;serif" w:hAnsi="Times New Roman;serif"/>
          <w:b w:val="false"/>
          <w:color w:val="000000"/>
          <w:sz w:val="22"/>
        </w:rPr>
        <w:t xml:space="preserve">as of </w:t>
      </w:r>
      <w:r>
        <w:rPr>
          <w:rFonts w:ascii="Times New Roman;serif" w:hAnsi="Times New Roman;serif"/>
          <w:b w:val="false"/>
          <w:color w:val="0A0A0A"/>
          <w:sz w:val="22"/>
        </w:rPr>
        <w:t xml:space="preserve">March 31, 2026. Changes in the quarter included growth in the 1-4 family residential and Cash, securities, and other portfolios. Relative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total loans held for investment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A0A0A"/>
          <w:sz w:val="22"/>
        </w:rPr>
        <w:t xml:space="preserve">6.8% from $2.54 billion as of </w:t>
      </w:r>
      <w:r>
        <w:rPr>
          <w:rFonts w:ascii="Times New Roman;serif" w:hAnsi="Times New Roman;serif"/>
          <w:b w:val="false"/>
          <w:color w:val="000000"/>
          <w:sz w:val="22"/>
        </w:rPr>
        <w:t xml:space="preserve">June 30, 2025, primarily driven by </w:t>
      </w:r>
      <w:r>
        <w:rPr>
          <w:rFonts w:ascii="Times New Roman;serif" w:hAnsi="Times New Roman;serif"/>
          <w:b w:val="false"/>
          <w:color w:val="0A0A0A"/>
          <w:sz w:val="22"/>
        </w:rPr>
        <w:t xml:space="preserve">growth in Non-owner occupied commercial real estate, 1-4 family residential, Owner occupied commercial real estate, and Cash, securities, and other portfolios, </w:t>
      </w:r>
      <w:r>
        <w:rPr>
          <w:rFonts w:ascii="Times New Roman;serif" w:hAnsi="Times New Roman;serif"/>
          <w:b w:val="false"/>
          <w:color w:val="000000"/>
          <w:sz w:val="22"/>
        </w:rPr>
        <w:t>partially offset by a decrease in the Construction and development portfolio.</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A0A0A"/>
          <w:sz w:val="22"/>
        </w:rPr>
      </w:pPr>
      <w:r>
        <w:rPr>
          <w:rFonts w:ascii="Times New Roman;serif" w:hAnsi="Times New Roman;serif"/>
          <w:b/>
          <w:color w:val="0A0A0A"/>
          <w:sz w:val="22"/>
        </w:rPr>
        <w:t>Deposits</w:t>
      </w:r>
    </w:p>
    <w:p>
      <w:pPr>
        <w:pStyle w:val="TextBody"/>
        <w:bidi w:val="0"/>
        <w:spacing w:lineRule="auto" w:line="288" w:before="240" w:after="283"/>
        <w:jc w:val="both"/>
        <w:rPr/>
      </w:pPr>
      <w:r>
        <w:rPr>
          <w:rFonts w:ascii="Times New Roman;serif" w:hAnsi="Times New Roman;serif"/>
          <w:b w:val="false"/>
          <w:color w:val="0A0A0A"/>
          <w:sz w:val="22"/>
        </w:rPr>
        <w:t xml:space="preserve">Total deposits were $2.85 billion as of June 30, 2026, an increase of </w:t>
      </w:r>
      <w:r>
        <w:rPr>
          <w:rFonts w:ascii="Times New Roman;serif" w:hAnsi="Times New Roman;serif"/>
          <w:b w:val="false"/>
          <w:color w:val="000000"/>
          <w:sz w:val="22"/>
        </w:rPr>
        <w:t xml:space="preserve">0.4%, </w:t>
      </w:r>
      <w:r>
        <w:rPr>
          <w:rFonts w:ascii="Times New Roman;serif" w:hAnsi="Times New Roman;serif"/>
          <w:b w:val="false"/>
          <w:color w:val="0A0A0A"/>
          <w:sz w:val="22"/>
        </w:rPr>
        <w:t xml:space="preserve">from $2.84 billion as of March 31, 2026. The increase was primarily driven by an increase in money market deposit accounts, partially offset by a decrease in time deposit accounts. Relative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Total deposits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A0A0A"/>
          <w:sz w:val="22"/>
        </w:rPr>
        <w:t>12.6%</w:t>
      </w:r>
      <w:r>
        <w:rPr>
          <w:color w:val="000000"/>
        </w:rPr>
        <w:t xml:space="preserve"> </w:t>
      </w:r>
      <w:r>
        <w:rPr>
          <w:rFonts w:ascii="Times New Roman;serif" w:hAnsi="Times New Roman;serif"/>
          <w:b w:val="false"/>
          <w:color w:val="0A0A0A"/>
          <w:sz w:val="22"/>
        </w:rPr>
        <w:t xml:space="preserve">from $2.53 billion as of </w:t>
      </w:r>
      <w:r>
        <w:rPr>
          <w:rFonts w:ascii="Times New Roman;serif" w:hAnsi="Times New Roman;serif"/>
          <w:b w:val="false"/>
          <w:color w:val="000000"/>
          <w:sz w:val="22"/>
        </w:rPr>
        <w:t>June 30, 2025</w:t>
      </w:r>
      <w:r>
        <w:rPr>
          <w:rFonts w:ascii="Times New Roman;serif" w:hAnsi="Times New Roman;serif"/>
          <w:b w:val="false"/>
          <w:color w:val="0A0A0A"/>
          <w:sz w:val="22"/>
        </w:rPr>
        <w:t>, primarily driven by increases in money market deposit accounts and Noninterest-bearing accounts, partially offset by a decrease in time deposit accounts.</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Borrowings</w:t>
      </w:r>
    </w:p>
    <w:p>
      <w:pPr>
        <w:pStyle w:val="TextBody"/>
        <w:bidi w:val="0"/>
        <w:spacing w:lineRule="auto" w:line="288" w:before="240" w:after="283"/>
        <w:jc w:val="both"/>
        <w:rPr/>
      </w:pPr>
      <w:r>
        <w:rPr>
          <w:rFonts w:ascii="Times New Roman;serif" w:hAnsi="Times New Roman;serif"/>
          <w:b w:val="false"/>
          <w:color w:val="0A0A0A"/>
          <w:sz w:val="22"/>
        </w:rPr>
        <w:t xml:space="preserve">Federal Home Loan Bank (“FHLB”) borrowings were $36.4 million as of </w:t>
      </w:r>
      <w:r>
        <w:rPr>
          <w:rFonts w:ascii="Times New Roman;serif" w:hAnsi="Times New Roman;serif"/>
          <w:b w:val="false"/>
          <w:color w:val="000000"/>
          <w:sz w:val="22"/>
        </w:rPr>
        <w:t>June 30, 2026</w:t>
      </w:r>
      <w:r>
        <w:rPr>
          <w:rFonts w:ascii="Times New Roman;serif" w:hAnsi="Times New Roman;serif"/>
          <w:b w:val="false"/>
          <w:color w:val="0A0A0A"/>
          <w:sz w:val="22"/>
        </w:rPr>
        <w:t xml:space="preserve">, a </w:t>
      </w:r>
      <w:r>
        <w:rPr>
          <w:rFonts w:ascii="Times New Roman;serif" w:hAnsi="Times New Roman;serif"/>
          <w:b w:val="false"/>
          <w:color w:val="000000"/>
          <w:sz w:val="22"/>
        </w:rPr>
        <w:t>decrease</w:t>
      </w:r>
      <w:r>
        <w:rPr>
          <w:color w:val="0A0A0A"/>
        </w:rPr>
        <w:t xml:space="preserve"> </w:t>
      </w:r>
      <w:r>
        <w:rPr>
          <w:rFonts w:ascii="Times New Roman;serif" w:hAnsi="Times New Roman;serif"/>
          <w:b w:val="false"/>
          <w:color w:val="0A0A0A"/>
          <w:sz w:val="22"/>
        </w:rPr>
        <w:t xml:space="preserve">of </w:t>
      </w:r>
      <w:r>
        <w:rPr>
          <w:rFonts w:ascii="Times New Roman;serif" w:hAnsi="Times New Roman;serif"/>
          <w:b w:val="false"/>
          <w:color w:val="000000"/>
          <w:sz w:val="22"/>
        </w:rPr>
        <w:t>$13.6 million</w:t>
      </w:r>
      <w:r>
        <w:rPr>
          <w:color w:val="0A0A0A"/>
        </w:rPr>
        <w:t xml:space="preserve"> </w:t>
      </w:r>
      <w:r>
        <w:rPr>
          <w:rFonts w:ascii="Times New Roman;serif" w:hAnsi="Times New Roman;serif"/>
          <w:b w:val="false"/>
          <w:color w:val="0A0A0A"/>
          <w:sz w:val="22"/>
        </w:rPr>
        <w:t xml:space="preserve">from $50.0 million as of March 31, 2026. </w:t>
      </w:r>
      <w:r>
        <w:rPr>
          <w:rFonts w:ascii="Times New Roman;serif" w:hAnsi="Times New Roman;serif"/>
          <w:b w:val="false"/>
          <w:color w:val="000000"/>
          <w:sz w:val="22"/>
        </w:rPr>
        <w:t>The decrease when compared to March 31, 2026</w:t>
      </w:r>
      <w:r>
        <w:rPr>
          <w:color w:val="0A0A0A"/>
        </w:rPr>
        <w:t xml:space="preserve"> </w:t>
      </w:r>
      <w:r>
        <w:rPr>
          <w:rFonts w:ascii="Times New Roman;serif" w:hAnsi="Times New Roman;serif"/>
          <w:b w:val="false"/>
          <w:color w:val="0A0A0A"/>
          <w:sz w:val="22"/>
        </w:rPr>
        <w:t>was primarily driven by the</w:t>
      </w:r>
      <w:r>
        <w:rPr>
          <w:color w:val="000000"/>
        </w:rPr>
        <w:t xml:space="preserve"> </w:t>
      </w:r>
      <w:r>
        <w:rPr>
          <w:rFonts w:ascii="Times New Roman;serif" w:hAnsi="Times New Roman;serif"/>
          <w:b w:val="false"/>
          <w:color w:val="000000"/>
          <w:sz w:val="22"/>
        </w:rPr>
        <w:t>pay down of FHLB borrowings. Rela</w:t>
      </w:r>
      <w:r>
        <w:rPr>
          <w:rFonts w:ascii="Times New Roman;serif" w:hAnsi="Times New Roman;serif"/>
          <w:b w:val="false"/>
          <w:color w:val="0A0A0A"/>
          <w:sz w:val="22"/>
        </w:rPr>
        <w:t xml:space="preserve">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borrowings </w:t>
      </w:r>
      <w:r>
        <w:rPr>
          <w:rFonts w:ascii="Times New Roman;serif" w:hAnsi="Times New Roman;serif"/>
          <w:b w:val="false"/>
          <w:color w:val="000000"/>
          <w:sz w:val="22"/>
        </w:rPr>
        <w:t>decreased</w:t>
      </w:r>
      <w:r>
        <w:rPr>
          <w:color w:val="0A0A0A"/>
        </w:rPr>
        <w:t xml:space="preserve"> </w:t>
      </w:r>
      <w:r>
        <w:rPr>
          <w:rFonts w:ascii="Times New Roman;serif" w:hAnsi="Times New Roman;serif"/>
          <w:b w:val="false"/>
          <w:color w:val="0A0A0A"/>
          <w:sz w:val="22"/>
        </w:rPr>
        <w:t xml:space="preserve">$127.0 million from $163.4 million as of </w:t>
      </w:r>
      <w:r>
        <w:rPr>
          <w:rFonts w:ascii="Times New Roman;serif" w:hAnsi="Times New Roman;serif"/>
          <w:b w:val="false"/>
          <w:color w:val="000000"/>
          <w:sz w:val="22"/>
        </w:rPr>
        <w:t>June 30, 2025 driven by the pay down of FHLB borrowings.</w:t>
      </w:r>
    </w:p>
    <w:p>
      <w:pPr>
        <w:pStyle w:val="TextBody"/>
        <w:bidi w:val="0"/>
        <w:spacing w:lineRule="auto" w:line="288" w:before="240" w:after="283"/>
        <w:jc w:val="both"/>
        <w:rPr/>
      </w:pPr>
      <w:r>
        <w:rPr>
          <w:rFonts w:ascii="Times New Roman;serif" w:hAnsi="Times New Roman;serif"/>
          <w:b w:val="false"/>
          <w:color w:val="0A0A0A"/>
          <w:sz w:val="22"/>
        </w:rPr>
        <w:t xml:space="preserve">Subordinated notes were $44.8 million as of </w:t>
      </w:r>
      <w:r>
        <w:rPr>
          <w:rFonts w:ascii="Times New Roman;serif" w:hAnsi="Times New Roman;serif"/>
          <w:b w:val="false"/>
          <w:color w:val="000000"/>
          <w:sz w:val="22"/>
        </w:rPr>
        <w:t xml:space="preserve">June 30, 2026 and </w:t>
      </w:r>
      <w:r>
        <w:rPr>
          <w:rFonts w:ascii="Times New Roman;serif" w:hAnsi="Times New Roman;serif"/>
          <w:b w:val="false"/>
          <w:color w:val="0A0A0A"/>
          <w:sz w:val="22"/>
        </w:rPr>
        <w:t xml:space="preserve">March 31, 2026. Subordinated notes </w:t>
      </w:r>
      <w:r>
        <w:rPr>
          <w:rFonts w:ascii="Times New Roman;serif" w:hAnsi="Times New Roman;serif"/>
          <w:b w:val="false"/>
          <w:color w:val="000000"/>
          <w:sz w:val="22"/>
        </w:rPr>
        <w:t>increased</w:t>
      </w:r>
      <w:r>
        <w:rPr>
          <w:color w:val="0A0A0A"/>
        </w:rPr>
        <w:t xml:space="preserve"> </w:t>
      </w:r>
      <w:r>
        <w:rPr>
          <w:rFonts w:ascii="Times New Roman;serif" w:hAnsi="Times New Roman;serif"/>
          <w:b w:val="false"/>
          <w:color w:val="000000"/>
          <w:sz w:val="22"/>
        </w:rPr>
        <w:t>$0.1 million</w:t>
      </w:r>
      <w:r>
        <w:rPr>
          <w:color w:val="0A0A0A"/>
        </w:rPr>
        <w:t xml:space="preserve"> </w:t>
      </w:r>
      <w:r>
        <w:rPr>
          <w:rFonts w:ascii="Times New Roman;serif" w:hAnsi="Times New Roman;serif"/>
          <w:b w:val="false"/>
          <w:color w:val="0A0A0A"/>
          <w:sz w:val="22"/>
        </w:rPr>
        <w:t xml:space="preserve">from $44.7 million as of </w:t>
      </w:r>
      <w:r>
        <w:rPr>
          <w:rFonts w:ascii="Times New Roman;serif" w:hAnsi="Times New Roman;serif"/>
          <w:b w:val="false"/>
          <w:color w:val="000000"/>
          <w:sz w:val="22"/>
        </w:rPr>
        <w:t>June 30, 2025</w:t>
      </w:r>
      <w:r>
        <w:rPr>
          <w:rFonts w:ascii="Times New Roman;serif" w:hAnsi="Times New Roman;serif"/>
          <w:b w:val="false"/>
          <w:color w:val="0A0A0A"/>
          <w:sz w:val="22"/>
        </w:rPr>
        <w:t>.</w: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Assets Under Management</w:t>
      </w:r>
    </w:p>
    <w:p>
      <w:pPr>
        <w:pStyle w:val="TextBody"/>
        <w:bidi w:val="0"/>
        <w:spacing w:lineRule="auto" w:line="288" w:before="240" w:after="283"/>
        <w:jc w:val="both"/>
        <w:rPr/>
      </w:pPr>
      <w:r>
        <w:rPr>
          <w:rFonts w:ascii="Times New Roman;serif" w:hAnsi="Times New Roman;serif"/>
          <w:b w:val="false"/>
          <w:color w:val="0A0A0A"/>
          <w:sz w:val="22"/>
        </w:rPr>
        <w:t>Assets Under Management (</w:t>
      </w:r>
      <w:r>
        <w:rPr>
          <w:color w:val="0A0A0A"/>
          <w:shd w:fill="FFFFFF" w:val="clear"/>
        </w:rPr>
        <w:t>“</w:t>
      </w:r>
      <w:r>
        <w:rPr>
          <w:rFonts w:ascii="Times New Roman;serif" w:hAnsi="Times New Roman;serif"/>
          <w:b w:val="false"/>
          <w:color w:val="0A0A0A"/>
          <w:sz w:val="22"/>
        </w:rPr>
        <w:t>AUM</w:t>
      </w:r>
      <w:r>
        <w:rPr>
          <w:color w:val="0A0A0A"/>
          <w:shd w:fill="FFFFFF" w:val="clear"/>
        </w:rPr>
        <w:t>”</w:t>
      </w:r>
      <w:r>
        <w:rPr>
          <w:rFonts w:ascii="Times New Roman;serif" w:hAnsi="Times New Roman;serif"/>
          <w:b w:val="false"/>
          <w:color w:val="0A0A0A"/>
          <w:sz w:val="22"/>
        </w:rPr>
        <w:t xml:space="preserve">) was $7.28 billion as of </w:t>
      </w:r>
      <w:r>
        <w:rPr>
          <w:rFonts w:ascii="Times New Roman;serif" w:hAnsi="Times New Roman;serif"/>
          <w:b w:val="false"/>
          <w:color w:val="000000"/>
          <w:sz w:val="22"/>
        </w:rPr>
        <w:t>June 30, 2026</w:t>
      </w:r>
      <w:r>
        <w:rPr>
          <w:rFonts w:ascii="Times New Roman;serif" w:hAnsi="Times New Roman;serif"/>
          <w:b w:val="false"/>
          <w:color w:val="0A0A0A"/>
          <w:sz w:val="22"/>
        </w:rPr>
        <w:t>, an increase of</w:t>
      </w:r>
      <w:r>
        <w:rPr>
          <w:color w:val="000000"/>
        </w:rPr>
        <w:t xml:space="preserve"> </w:t>
      </w:r>
      <w:r>
        <w:rPr>
          <w:rFonts w:ascii="Times New Roman;serif" w:hAnsi="Times New Roman;serif"/>
          <w:b w:val="false"/>
          <w:color w:val="000000"/>
          <w:sz w:val="22"/>
        </w:rPr>
        <w:t>$41 million,</w:t>
      </w:r>
      <w:r>
        <w:rPr>
          <w:color w:val="0A0A0A"/>
        </w:rPr>
        <w:t xml:space="preserve"> </w:t>
      </w:r>
      <w:r>
        <w:rPr>
          <w:rFonts w:ascii="Times New Roman;serif" w:hAnsi="Times New Roman;serif"/>
          <w:b w:val="false"/>
          <w:color w:val="0A0A0A"/>
          <w:sz w:val="22"/>
        </w:rPr>
        <w:t xml:space="preserve">or </w:t>
      </w:r>
      <w:r>
        <w:rPr>
          <w:rFonts w:ascii="Times New Roman;serif" w:hAnsi="Times New Roman;serif"/>
          <w:b w:val="false"/>
          <w:color w:val="000000"/>
          <w:sz w:val="22"/>
        </w:rPr>
        <w:t>0.6%</w:t>
      </w:r>
      <w:r>
        <w:rPr>
          <w:rFonts w:ascii="Times New Roman;serif" w:hAnsi="Times New Roman;serif"/>
          <w:b w:val="false"/>
          <w:color w:val="0A0A0A"/>
          <w:sz w:val="22"/>
        </w:rPr>
        <w:t xml:space="preserve">, from $7.23 billion as of March 31, 2026. The increase in AUM during the quarter was primarily attributable to improving market conditions. Compared to </w:t>
      </w:r>
      <w:r>
        <w:rPr>
          <w:rFonts w:ascii="Times New Roman;serif" w:hAnsi="Times New Roman;serif"/>
          <w:b w:val="false"/>
          <w:color w:val="000000"/>
          <w:sz w:val="22"/>
        </w:rPr>
        <w:t>June 30, 2025</w:t>
      </w:r>
      <w:r>
        <w:rPr>
          <w:rFonts w:ascii="Times New Roman;serif" w:hAnsi="Times New Roman;serif"/>
          <w:b w:val="false"/>
          <w:color w:val="0A0A0A"/>
          <w:sz w:val="22"/>
        </w:rPr>
        <w:t xml:space="preserve">, total AUM decreased </w:t>
      </w:r>
      <w:r>
        <w:rPr>
          <w:rFonts w:ascii="Times New Roman;serif" w:hAnsi="Times New Roman;serif"/>
          <w:b w:val="false"/>
          <w:color w:val="000000"/>
          <w:sz w:val="22"/>
        </w:rPr>
        <w:t xml:space="preserve">2.9% </w:t>
      </w:r>
      <w:r>
        <w:rPr>
          <w:rFonts w:ascii="Times New Roman;serif" w:hAnsi="Times New Roman;serif"/>
          <w:b w:val="false"/>
          <w:color w:val="0A0A0A"/>
          <w:sz w:val="22"/>
        </w:rPr>
        <w:t>from $7.50 billion primarily attributable to net withdrawals in fixed-fee accounts.</w:t>
      </w:r>
    </w:p>
    <w:p>
      <w:pPr>
        <w:pStyle w:val="TextBody"/>
        <w:bidi w:val="0"/>
        <w:spacing w:lineRule="auto" w:line="288" w:before="240" w:after="283"/>
        <w:jc w:val="both"/>
        <w:rPr>
          <w:rFonts w:ascii="Times New Roman;serif" w:hAnsi="Times New Roman;serif"/>
          <w:b/>
          <w:color w:val="0A0A0A"/>
          <w:sz w:val="22"/>
        </w:rPr>
      </w:pPr>
      <w:r>
        <w:rPr>
          <w:rFonts w:ascii="Times New Roman;serif" w:hAnsi="Times New Roman;serif"/>
          <w:b/>
          <w:color w:val="0A0A0A"/>
          <w:sz w:val="22"/>
        </w:rPr>
        <w:t>Credit Quality</w:t>
      </w:r>
    </w:p>
    <w:p>
      <w:pPr>
        <w:pStyle w:val="TextBody"/>
        <w:bidi w:val="0"/>
        <w:spacing w:lineRule="auto" w:line="288" w:before="240" w:after="283"/>
        <w:jc w:val="left"/>
        <w:rPr/>
      </w:pPr>
      <w:r>
        <w:rPr>
          <w:rFonts w:ascii="Times New Roman;serif" w:hAnsi="Times New Roman;serif"/>
          <w:b w:val="false"/>
          <w:color w:val="0A0A0A"/>
          <w:sz w:val="22"/>
        </w:rPr>
        <w:t xml:space="preserve">Non-performing assets totaled $16.3 million, or 0.50%, of Total assets as of </w:t>
      </w:r>
      <w:r>
        <w:rPr>
          <w:rFonts w:ascii="Times New Roman;serif" w:hAnsi="Times New Roman;serif"/>
          <w:b w:val="false"/>
          <w:color w:val="000000"/>
          <w:sz w:val="22"/>
        </w:rPr>
        <w:t>June 30, 2026 and</w:t>
      </w:r>
      <w:r>
        <w:rPr>
          <w:color w:val="0A0A0A"/>
        </w:rPr>
        <w:t xml:space="preserve"> </w:t>
      </w:r>
      <w:r>
        <w:rPr>
          <w:rFonts w:ascii="Times New Roman;serif" w:hAnsi="Times New Roman;serif"/>
          <w:b w:val="false"/>
          <w:color w:val="0A0A0A"/>
          <w:sz w:val="22"/>
        </w:rPr>
        <w:t xml:space="preserve">March 31, 2026. As of </w:t>
      </w:r>
      <w:r>
        <w:rPr>
          <w:rFonts w:ascii="Times New Roman;serif" w:hAnsi="Times New Roman;serif"/>
          <w:b w:val="false"/>
          <w:color w:val="000000"/>
          <w:sz w:val="22"/>
        </w:rPr>
        <w:t>June 30, 2025</w:t>
      </w:r>
      <w:r>
        <w:rPr>
          <w:rFonts w:ascii="Times New Roman;serif" w:hAnsi="Times New Roman;serif"/>
          <w:b w:val="false"/>
          <w:color w:val="0A0A0A"/>
          <w:sz w:val="22"/>
        </w:rPr>
        <w:t xml:space="preserve">, non-performing assets totaled $18.8 million, or 0.62%, of Total assets. Relative to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the </w:t>
      </w:r>
      <w:r>
        <w:rPr>
          <w:rFonts w:ascii="Times New Roman;serif" w:hAnsi="Times New Roman;serif"/>
          <w:b w:val="false"/>
          <w:color w:val="000000"/>
          <w:sz w:val="22"/>
        </w:rPr>
        <w:t>decrease</w:t>
      </w:r>
      <w:r>
        <w:rPr>
          <w:color w:val="0A0A0A"/>
        </w:rPr>
        <w:t xml:space="preserve"> </w:t>
      </w:r>
      <w:r>
        <w:rPr>
          <w:rFonts w:ascii="Times New Roman;serif" w:hAnsi="Times New Roman;serif"/>
          <w:b w:val="false"/>
          <w:color w:val="0A0A0A"/>
          <w:sz w:val="22"/>
        </w:rPr>
        <w:t>in non-performing assets was primarily driven by the sale of an OREO property in the first quarter of 2026, pay downs, and a charge-off, partially offset by additions to non-accrual loans.</w:t>
      </w:r>
    </w:p>
    <w:p>
      <w:pPr>
        <w:pStyle w:val="TextBody"/>
        <w:bidi w:val="0"/>
        <w:spacing w:lineRule="auto" w:line="288" w:before="240" w:after="283"/>
        <w:jc w:val="both"/>
        <w:rPr/>
      </w:pPr>
      <w:r>
        <w:rPr>
          <w:rFonts w:ascii="Times New Roman;serif" w:hAnsi="Times New Roman;serif"/>
          <w:b w:val="false"/>
          <w:color w:val="0A0A0A"/>
          <w:sz w:val="22"/>
        </w:rPr>
        <w:t xml:space="preserve">Non-accrual loans totaled </w:t>
      </w:r>
      <w:r>
        <w:rPr>
          <w:rFonts w:ascii="Times New Roman;serif" w:hAnsi="Times New Roman;serif"/>
          <w:b w:val="false"/>
          <w:color w:val="000000"/>
          <w:sz w:val="22"/>
        </w:rPr>
        <w:t>$16.3 million</w:t>
      </w:r>
      <w:r>
        <w:rPr>
          <w:color w:val="0A0A0A"/>
        </w:rPr>
        <w:t xml:space="preserve"> </w:t>
      </w:r>
      <w:r>
        <w:rPr>
          <w:rFonts w:ascii="Times New Roman;serif" w:hAnsi="Times New Roman;serif"/>
          <w:b w:val="false"/>
          <w:color w:val="0A0A0A"/>
          <w:sz w:val="22"/>
        </w:rPr>
        <w:t xml:space="preserve">as of </w:t>
      </w:r>
      <w:r>
        <w:rPr>
          <w:rFonts w:ascii="Times New Roman;serif" w:hAnsi="Times New Roman;serif"/>
          <w:b w:val="false"/>
          <w:color w:val="000000"/>
          <w:sz w:val="22"/>
        </w:rPr>
        <w:t>June 30, 2026 and March 31, 2026</w:t>
      </w:r>
      <w:r>
        <w:rPr>
          <w:rFonts w:ascii="Times New Roman;serif" w:hAnsi="Times New Roman;serif"/>
          <w:b w:val="false"/>
          <w:color w:val="0A0A0A"/>
          <w:sz w:val="22"/>
        </w:rPr>
        <w:t xml:space="preserve">. As of </w:t>
      </w:r>
      <w:r>
        <w:rPr>
          <w:rFonts w:ascii="Times New Roman;serif" w:hAnsi="Times New Roman;serif"/>
          <w:b w:val="false"/>
          <w:color w:val="000000"/>
          <w:sz w:val="22"/>
        </w:rPr>
        <w:t>June 30, 2025</w:t>
      </w:r>
      <w:r>
        <w:rPr>
          <w:rFonts w:ascii="Times New Roman;serif" w:hAnsi="Times New Roman;serif"/>
          <w:b w:val="false"/>
          <w:color w:val="0A0A0A"/>
          <w:sz w:val="22"/>
        </w:rPr>
        <w:t xml:space="preserve">, non-accrual loans totaled </w:t>
      </w:r>
      <w:r>
        <w:rPr>
          <w:rFonts w:ascii="Times New Roman;serif" w:hAnsi="Times New Roman;serif"/>
          <w:b w:val="false"/>
          <w:color w:val="000000"/>
          <w:sz w:val="22"/>
        </w:rPr>
        <w:t>$14.4 million. Relative to the second quarter of 2025, t</w:t>
      </w:r>
      <w:r>
        <w:rPr>
          <w:rFonts w:ascii="Times New Roman;serif" w:hAnsi="Times New Roman;serif"/>
          <w:b w:val="false"/>
          <w:color w:val="0A0A0A"/>
          <w:sz w:val="22"/>
        </w:rPr>
        <w:t>he increase</w:t>
      </w:r>
      <w:r>
        <w:rPr>
          <w:color w:val="000000"/>
        </w:rPr>
        <w:t xml:space="preserve"> </w:t>
      </w:r>
      <w:r>
        <w:rPr>
          <w:rFonts w:ascii="Times New Roman;serif" w:hAnsi="Times New Roman;serif"/>
          <w:b w:val="false"/>
          <w:color w:val="0A0A0A"/>
          <w:sz w:val="22"/>
        </w:rPr>
        <w:t>was primarily driven by additions to non-accrual loans, partially offset by pay downs and a charge-off.</w:t>
      </w:r>
    </w:p>
    <w:p>
      <w:pPr>
        <w:pStyle w:val="TextBody"/>
        <w:bidi w:val="0"/>
        <w:spacing w:lineRule="auto" w:line="288" w:before="240" w:after="283"/>
        <w:jc w:val="both"/>
        <w:rPr/>
      </w:pPr>
      <w:r>
        <w:rPr>
          <w:rFonts w:ascii="Times New Roman;serif" w:hAnsi="Times New Roman;serif"/>
          <w:b w:val="false"/>
          <w:color w:val="0A0A0A"/>
          <w:sz w:val="22"/>
        </w:rPr>
        <w:t xml:space="preserve">During the </w:t>
      </w:r>
      <w:r>
        <w:rPr>
          <w:rFonts w:ascii="Times New Roman;serif" w:hAnsi="Times New Roman;serif"/>
          <w:b w:val="false"/>
          <w:color w:val="000000"/>
          <w:sz w:val="22"/>
        </w:rPr>
        <w:t>second quarter of</w:t>
      </w:r>
      <w:r>
        <w:rPr>
          <w:color w:val="000000"/>
        </w:rPr>
        <w:t xml:space="preserve"> </w:t>
      </w:r>
      <w:r>
        <w:rPr>
          <w:rFonts w:ascii="Times New Roman;serif" w:hAnsi="Times New Roman;serif"/>
          <w:b w:val="false"/>
          <w:color w:val="000000"/>
          <w:sz w:val="22"/>
        </w:rPr>
        <w:t>2026,</w:t>
      </w:r>
      <w:r>
        <w:rPr>
          <w:color w:val="0A0A0A"/>
        </w:rPr>
        <w:t xml:space="preserve"> </w:t>
      </w:r>
      <w:r>
        <w:rPr>
          <w:rFonts w:ascii="Times New Roman;serif" w:hAnsi="Times New Roman;serif"/>
          <w:b w:val="false"/>
          <w:color w:val="0A0A0A"/>
          <w:sz w:val="22"/>
        </w:rPr>
        <w:t xml:space="preserve">the Company recorded a provision release of $0.5 million, compared to a provision release of $0.7 million in the </w:t>
      </w:r>
      <w:r>
        <w:rPr>
          <w:rFonts w:ascii="Times New Roman;serif" w:hAnsi="Times New Roman;serif"/>
          <w:b w:val="false"/>
          <w:color w:val="000000"/>
          <w:sz w:val="22"/>
        </w:rPr>
        <w:t>first quarter of 2026,</w:t>
      </w:r>
      <w:r>
        <w:rPr>
          <w:color w:val="0A0A0A"/>
        </w:rPr>
        <w:t xml:space="preserve"> </w:t>
      </w:r>
      <w:r>
        <w:rPr>
          <w:rFonts w:ascii="Times New Roman;serif" w:hAnsi="Times New Roman;serif"/>
          <w:b w:val="false"/>
          <w:color w:val="0A0A0A"/>
          <w:sz w:val="22"/>
        </w:rPr>
        <w:t xml:space="preserve">and provision of $1.8 million in the </w:t>
      </w:r>
      <w:r>
        <w:rPr>
          <w:rFonts w:ascii="Times New Roman;serif" w:hAnsi="Times New Roman;serif"/>
          <w:b w:val="false"/>
          <w:color w:val="000000"/>
          <w:sz w:val="22"/>
        </w:rPr>
        <w:t>second quarter of 2025</w:t>
      </w:r>
      <w:r>
        <w:rPr>
          <w:rFonts w:ascii="Times New Roman;serif" w:hAnsi="Times New Roman;serif"/>
          <w:b w:val="false"/>
          <w:color w:val="0A0A0A"/>
          <w:sz w:val="22"/>
        </w:rPr>
        <w:t xml:space="preserve">. The release of $0.5 million in the second quarter of 2026 was primarily driven by decreased reserves on individually analyzed loans and a decrease in general reserves due to improved economic forecasts. As of </w:t>
      </w:r>
      <w:r>
        <w:rPr>
          <w:rFonts w:ascii="Times New Roman;serif" w:hAnsi="Times New Roman;serif"/>
          <w:b w:val="false"/>
          <w:color w:val="000000"/>
          <w:sz w:val="22"/>
        </w:rPr>
        <w:t xml:space="preserve">June 30, 2026 and </w:t>
      </w:r>
      <w:r>
        <w:rPr>
          <w:rFonts w:ascii="Times New Roman;serif" w:hAnsi="Times New Roman;serif"/>
          <w:b w:val="false"/>
          <w:color w:val="0A0A0A"/>
          <w:sz w:val="22"/>
        </w:rPr>
        <w:t>March 31, 2026, the Allowance for credit losses as a percentage of Total loans was 75 basis points and 77</w:t>
      </w:r>
      <w:r>
        <w:rPr>
          <w:color w:val="000000"/>
        </w:rPr>
        <w:t xml:space="preserve"> </w:t>
      </w:r>
      <w:r>
        <w:rPr>
          <w:rFonts w:ascii="Times New Roman;serif" w:hAnsi="Times New Roman;serif"/>
          <w:b w:val="false"/>
          <w:color w:val="0A0A0A"/>
          <w:sz w:val="22"/>
        </w:rPr>
        <w:t>basis points,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A0A0A"/>
          <w:sz w:val="22"/>
        </w:rPr>
      </w:pPr>
      <w:r>
        <w:rPr>
          <w:rFonts w:ascii="Times New Roman;serif" w:hAnsi="Times New Roman;serif"/>
          <w:b/>
          <w:color w:val="0A0A0A"/>
          <w:sz w:val="22"/>
        </w:rPr>
        <w:t>Capital</w:t>
      </w:r>
    </w:p>
    <w:p>
      <w:pPr>
        <w:pStyle w:val="TextBody"/>
        <w:bidi w:val="0"/>
        <w:spacing w:lineRule="auto" w:line="288" w:before="240" w:after="283"/>
        <w:jc w:val="both"/>
        <w:rPr/>
      </w:pPr>
      <w:r>
        <w:rPr>
          <w:rFonts w:ascii="Times New Roman;serif" w:hAnsi="Times New Roman;serif"/>
          <w:b w:val="false"/>
          <w:color w:val="0A0A0A"/>
          <w:sz w:val="22"/>
        </w:rPr>
        <w:t xml:space="preserve">As of </w:t>
      </w:r>
      <w:r>
        <w:rPr>
          <w:rFonts w:ascii="Times New Roman;serif" w:hAnsi="Times New Roman;serif"/>
          <w:b w:val="false"/>
          <w:color w:val="000000"/>
          <w:sz w:val="22"/>
        </w:rPr>
        <w:t>June 30, 2026</w:t>
      </w:r>
      <w:r>
        <w:rPr>
          <w:rFonts w:ascii="Times New Roman;serif" w:hAnsi="Times New Roman;serif"/>
          <w:b w:val="false"/>
          <w:color w:val="0A0A0A"/>
          <w:sz w:val="22"/>
          <w:shd w:fill="FFFFFF" w:val="clear"/>
        </w:rPr>
        <w:t xml:space="preserve">, First Western (“Consolidated”) and First Western Trust Bank (“Bank”) exceeded the minimum capital levels required by their respective regulators. As of </w:t>
      </w:r>
      <w:r>
        <w:rPr>
          <w:rFonts w:ascii="Times New Roman;serif" w:hAnsi="Times New Roman;serif"/>
          <w:b w:val="false"/>
          <w:color w:val="000000"/>
          <w:sz w:val="22"/>
          <w:shd w:fill="FFFFFF" w:val="clear"/>
        </w:rPr>
        <w:t>June 30, 2026</w:t>
      </w:r>
      <w:r>
        <w:rPr>
          <w:rFonts w:ascii="Times New Roman;serif" w:hAnsi="Times New Roman;serif"/>
          <w:b w:val="false"/>
          <w:color w:val="0A0A0A"/>
          <w:sz w:val="22"/>
          <w:shd w:fill="FFFFFF" w:val="clear"/>
        </w:rPr>
        <w:t>, the Bank was classified as “well capitalized,” as summarized in the following table:</w:t>
      </w:r>
    </w:p>
    <w:tbl>
      <w:tblPr>
        <w:tblW w:w="4143" w:type="dxa"/>
        <w:jc w:val="left"/>
        <w:tblInd w:w="0" w:type="dxa"/>
        <w:tblLayout w:type="fixed"/>
        <w:tblCellMar>
          <w:top w:w="28" w:type="dxa"/>
          <w:left w:w="28" w:type="dxa"/>
          <w:bottom w:w="28" w:type="dxa"/>
          <w:right w:w="28" w:type="dxa"/>
        </w:tblCellMar>
      </w:tblPr>
      <w:tblGrid>
        <w:gridCol w:w="1112"/>
        <w:gridCol w:w="978"/>
        <w:gridCol w:w="984"/>
        <w:gridCol w:w="307"/>
        <w:gridCol w:w="309"/>
        <w:gridCol w:w="453"/>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Consolidated Capital</w:t>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Bank Capital</w:t>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2"/>
        </w:rPr>
        <w:t>Book value per common share increased 2.2% from $28.10 as of</w:t>
      </w:r>
      <w:r>
        <w:rPr>
          <w:color w:val="0A0A0A"/>
        </w:rPr>
        <w:t xml:space="preserve"> </w:t>
      </w:r>
      <w:r>
        <w:rPr>
          <w:rFonts w:ascii="Times New Roman;serif" w:hAnsi="Times New Roman;serif"/>
          <w:b w:val="false"/>
          <w:color w:val="0A0A0A"/>
          <w:sz w:val="22"/>
        </w:rPr>
        <w:t>March 31, 2026</w:t>
      </w:r>
      <w:r>
        <w:rPr>
          <w:color w:val="000000"/>
        </w:rPr>
        <w:t xml:space="preserve"> </w:t>
      </w:r>
      <w:r>
        <w:rPr>
          <w:rFonts w:ascii="Times New Roman;serif" w:hAnsi="Times New Roman;serif"/>
          <w:b w:val="false"/>
          <w:color w:val="000000"/>
          <w:sz w:val="22"/>
        </w:rPr>
        <w:t>to $28.73 as of June 30, 2026. Book value per common share increased 7.8%</w:t>
      </w:r>
      <w:r>
        <w:rPr>
          <w:color w:val="000000"/>
        </w:rPr>
        <w:t xml:space="preserve"> </w:t>
      </w:r>
      <w:r>
        <w:rPr>
          <w:rFonts w:ascii="Times New Roman;serif" w:hAnsi="Times New Roman;serif"/>
          <w:b w:val="false"/>
          <w:color w:val="000000"/>
          <w:sz w:val="22"/>
        </w:rPr>
        <w:t>from $26.64 as of</w:t>
      </w:r>
      <w:r>
        <w:rPr>
          <w:color w:val="0A0A0A"/>
        </w:rPr>
        <w:t xml:space="preserve"> </w:t>
      </w:r>
      <w:r>
        <w:rPr>
          <w:rFonts w:ascii="Times New Roman;serif" w:hAnsi="Times New Roman;serif"/>
          <w:b w:val="false"/>
          <w:color w:val="0A0A0A"/>
          <w:sz w:val="22"/>
        </w:rPr>
        <w:t>June 30, 2025</w:t>
      </w:r>
      <w:r>
        <w:rPr>
          <w:rFonts w:ascii="Times New Roman;serif" w:hAnsi="Times New Roman;serif"/>
          <w:b w:val="false"/>
          <w:color w:val="000000"/>
          <w:sz w:val="22"/>
        </w:rPr>
        <w:t xml:space="preserve">. </w:t>
      </w:r>
    </w:p>
    <w:p>
      <w:pPr>
        <w:pStyle w:val="TextBody"/>
        <w:bidi w:val="0"/>
        <w:spacing w:lineRule="auto" w:line="288" w:before="240" w:after="283"/>
        <w:jc w:val="both"/>
        <w:rPr/>
      </w:pPr>
      <w:r>
        <w:rPr>
          <w:rFonts w:ascii="Times New Roman;serif" w:hAnsi="Times New Roman;serif"/>
          <w:b w:val="false"/>
          <w:color w:val="000000"/>
          <w:sz w:val="22"/>
        </w:rPr>
        <w:t>Tangible book value per common share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increased 2.7% from $24.87 as of </w:t>
      </w:r>
      <w:r>
        <w:rPr>
          <w:rFonts w:ascii="Times New Roman;serif" w:hAnsi="Times New Roman;serif"/>
          <w:b w:val="false"/>
          <w:color w:val="0A0A0A"/>
          <w:sz w:val="22"/>
        </w:rPr>
        <w:t>March 31, 2026</w:t>
      </w:r>
      <w:r>
        <w:rPr>
          <w:color w:val="000000"/>
        </w:rPr>
        <w:t xml:space="preserve"> </w:t>
      </w:r>
      <w:r>
        <w:rPr>
          <w:rFonts w:ascii="Times New Roman;serif" w:hAnsi="Times New Roman;serif"/>
          <w:b w:val="false"/>
          <w:color w:val="000000"/>
          <w:sz w:val="22"/>
        </w:rPr>
        <w:t xml:space="preserve">to $25.53 as of June 30, 2026. Tangible book value per common share increased 9.1% from $23.39 as of </w:t>
      </w:r>
      <w:r>
        <w:rPr>
          <w:rFonts w:ascii="Times New Roman;serif" w:hAnsi="Times New Roman;serif"/>
          <w:b w:val="false"/>
          <w:color w:val="0A0A0A"/>
          <w:sz w:val="22"/>
        </w:rPr>
        <w:t>June 30, 2025</w:t>
      </w:r>
      <w:r>
        <w:rPr>
          <w:rFonts w:ascii="Times New Roman;serif" w:hAnsi="Times New Roman;serif"/>
          <w:b w:val="false"/>
          <w:color w:val="000000"/>
          <w:sz w:val="22"/>
        </w:rPr>
        <w:t xml:space="preserve">. </w:t>
      </w:r>
    </w:p>
    <w:p>
      <w:pPr>
        <w:pStyle w:val="TextBody"/>
        <w:bidi w:val="0"/>
        <w:spacing w:lineRule="auto" w:line="288" w:before="240" w:after="283"/>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Represents a Non-GAAP financial measure. See “Reconciliations of Non-GAAP Financial Measures” for a reconciliation of our Non-GAAP measures to the most directly comparable GAAP financial measure.</w:t>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Conference Call, Webcast and Slide Presentation</w:t>
      </w:r>
    </w:p>
    <w:p>
      <w:pPr>
        <w:pStyle w:val="TextBody"/>
        <w:bidi w:val="0"/>
        <w:spacing w:lineRule="auto" w:line="256" w:before="0" w:after="0"/>
        <w:jc w:val="left"/>
        <w:rPr/>
      </w:pPr>
      <w:r>
        <w:rPr>
          <w:rFonts w:ascii="Times New Roman;serif" w:hAnsi="Times New Roman;serif"/>
          <w:b w:val="false"/>
          <w:color w:val="000000"/>
          <w:sz w:val="22"/>
        </w:rPr>
        <w:t xml:space="preserve">The Company will host a conference call and webcast at 10:00 a.m. MT/ 12:00 p.m. ET on Friday, July 24, 2026. Telephone access: </w:t>
      </w:r>
      <w:r>
        <w:rPr>
          <w:rFonts w:ascii="Times New Roman;serif" w:hAnsi="Times New Roman;serif"/>
          <w:b w:val="false"/>
          <w:color w:val="0000FF"/>
          <w:sz w:val="22"/>
          <w:u w:val="single"/>
        </w:rPr>
        <w:t>https://register-conf.media-server.com/register/BI620e7cc229a04eecacb0dc725f48f6cf</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2"/>
        </w:rPr>
        <w:t xml:space="preserve">A slide presentation relating to the second quarter 2026 results will be accessible prior to the scheduled conference call. The slide presentation and webcast of the conference call can be accessed on the Events and Presentations page of the Company’s investor relations website at </w:t>
      </w:r>
      <w:r>
        <w:rPr>
          <w:rFonts w:ascii="Times New Roman;serif" w:hAnsi="Times New Roman;serif"/>
          <w:b w:val="false"/>
          <w:color w:val="0000FF"/>
          <w:sz w:val="22"/>
          <w:u w:val="single"/>
        </w:rPr>
        <w:t>https://myfw.gcs-web.com</w:t>
      </w:r>
      <w:r>
        <w:rPr>
          <w:rFonts w:ascii="Times New Roman;serif" w:hAnsi="Times New Roman;serif"/>
          <w:b w:val="false"/>
          <w:color w:val="000000"/>
          <w:sz w:val="22"/>
        </w:rPr>
        <w:t>.</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First Western</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First Western is a financial services holding company headquartered in Denver, Colorado, with operations in Colorado, Arizona, Wyoming, California, and Montana. First Western and its subsidiaries provide a fully integrated suite of wealth management services on a private trust bank platform, which includes a comprehensive selection of deposit, loan, trust, wealth planning and investment management products and services. First Western’s common stock is traded on the Nasdaq Global Select Market under the symbol “MYFW.” For more information, please visit www.myfw.com.</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240" w:after="283"/>
        <w:jc w:val="both"/>
        <w:rPr/>
      </w:pPr>
      <w:r>
        <w:rPr>
          <w:rFonts w:ascii="Times New Roman;serif" w:hAnsi="Times New Roman;serif"/>
          <w:b w:val="false"/>
          <w:color w:val="000000"/>
          <w:sz w:val="22"/>
        </w:rPr>
        <w:t>Some of the financial measures included in this press release are not measures of financial performance recognized in accordance with generally accepted accounting principles in the United States (“GAAP”). These non-GAAP financial measures include “Tangible Common Equity,” “Tangible Common Book Value per Share,” “Return on Tangible Common Equity,” “Efficiency Ratio,” and “Gross Revenue”</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rPr>
        <w:t>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 Not all companies use the same calculation of these measures; therefore, this presentation may not be comparable to other similarly titled measures as presented by other companies. Reconciliation of non-GAAP financial measures to GAAP financial measures are provided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Statements in this news release regarding our expectations and beliefs about our future financial performance and financial condition, as well as trends in our business and markets are “forward-looking statements” as defined in the Private Securities Litigation Reform Act of 1995. Forward-looking statements often include words such as “believe,” “expect,” “anticipate,” “intend,” “plan,” “estimate,” “project,” “position,” “outlook,” or words of similar meaning, or future or conditional verbs such as “will,” “would,” “should,” “could,” or “may.” The forward-looking statements in this news release are based on current information and on assumptions that we make about future events and circumstances that are subject to a number of risks and uncertainties that are often difficult to predict and beyond our control. As a result of those risks and uncertainties, our actual financial results in the future could differ, possibly materially, from those expressed in or implied by the forward-looking statements contained in this news release and could cause us to make changes to our future plans. Those risks and uncertainties include, without limitation, the risk of geographic concentration in Colorado, Arizona, Wyoming, California, and Montana; the risk of changes in the economy affecting real estate values and liquidity; the risk in our ability to continue to originate residential real estate loans and sell such loans; risks specific to commercial loans and borrowers; the risk of claims and litigation pertaining to our fiduciary responsibilities; the risk of changes in interest rates could reduce our net interest margins and Net interest income; increased credit risk, including as a result of deterioration in economic conditions, could require us to increase our allowance for credit losses and could have a material adverse effect on our results of operations and financial condition; the risk in our ability to maintain a strong core deposit base or other low-cost funding sources. Additional information regarding these and other risks and uncertainties to which our business and future financial performance are subject is contained in our Annual Report on Form 10-K filed with the U.S. Securities and Exchange Commission (“SEC”) on February 27, 2026 (“Form 10-K”), and other documents we file with the SEC from time to time. We urge readers of this news release to review the “Risk Factors” section our Form 10-K and any updates to those risk factors set forth in our subsequent Quarterly Reports on Form 10-Q, Current Reports on Form 8-K, and our other filings with the SEC. Also, our actual financial results in the future may differ from those currently expected due to additional risks and uncertainties of which we are not currently aware or which we do not currently view as, but in the future may become, material to our business or operating results. Due to these and other possible uncertainties and risks, readers are cautioned not to place undue reliance on the forward-looking statements contained in this news release, which speak only as of today’s date, or to make predictions based solely on historical financial performance.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Financial Profiles,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Lisa Fortuna</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310-622-8251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MYFW@finprofiles.com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IR@myfw.com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Income (unaudited)</w:t>
      </w:r>
    </w:p>
    <w:tbl>
      <w:tblPr>
        <w:tblW w:w="8216" w:type="dxa"/>
        <w:jc w:val="left"/>
        <w:tblInd w:w="0" w:type="dxa"/>
        <w:tblLayout w:type="fixed"/>
        <w:tblCellMar>
          <w:top w:w="28" w:type="dxa"/>
          <w:left w:w="28" w:type="dxa"/>
          <w:bottom w:w="28" w:type="dxa"/>
          <w:right w:w="28" w:type="dxa"/>
        </w:tblCellMar>
      </w:tblPr>
      <w:tblGrid>
        <w:gridCol w:w="1687"/>
        <w:gridCol w:w="1483"/>
        <w:gridCol w:w="1494"/>
        <w:gridCol w:w="196"/>
        <w:gridCol w:w="646"/>
        <w:gridCol w:w="109"/>
        <w:gridCol w:w="109"/>
        <w:gridCol w:w="109"/>
        <w:gridCol w:w="109"/>
        <w:gridCol w:w="196"/>
        <w:gridCol w:w="646"/>
        <w:gridCol w:w="109"/>
        <w:gridCol w:w="109"/>
        <w:gridCol w:w="109"/>
        <w:gridCol w:w="109"/>
        <w:gridCol w:w="196"/>
        <w:gridCol w:w="646"/>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per share amounts)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 income: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fees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accounted for under the fair value option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in other financial institutions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restricted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and dividend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37,500 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borrowed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19,616 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Less: (Release of) provision for credit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Trust and investment management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on mortgage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Bank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Risk management and insurance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company-owned life insurance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loans accounted for under the fair value option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other real estate owned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gain recognized on equity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before non-interest expense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information systems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other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common share:</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2403"/>
        <w:gridCol w:w="1613"/>
        <w:gridCol w:w="1601"/>
        <w:gridCol w:w="211"/>
        <w:gridCol w:w="976"/>
        <w:gridCol w:w="109"/>
        <w:gridCol w:w="109"/>
        <w:gridCol w:w="109"/>
        <w:gridCol w:w="109"/>
        <w:gridCol w:w="211"/>
        <w:gridCol w:w="976"/>
        <w:gridCol w:w="109"/>
        <w:gridCol w:w="109"/>
        <w:gridCol w:w="109"/>
        <w:gridCol w:w="109"/>
        <w:gridCol w:w="211"/>
        <w:gridCol w:w="976"/>
        <w:gridCol w:w="155"/>
      </w:tblGrid>
      <w:tr>
        <w:trPr/>
        <w:tc>
          <w:tcPr>
            <w:tcW w:w="24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financial institutions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234,214 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at fair value (amortized cost of $89,745, $41,937, and $0,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Held-to-maturity debt securities (fair value of $112,617, $90,775 and $93,979, respectively), net of allowance for credit losses of $151, $83, and $71,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stock, at cost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at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(includes $1,758, $2,468, and $5,099 measured at fair value,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2,540,096 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2,669,314 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2,521,102 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life 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3,026,797 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2,167,473 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2,845,964 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2,841,615 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2,529,129 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and Federal Reserve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2,767,950 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3,238,006 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3,240,717 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3,026,797 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w:t>
      </w:r>
    </w:p>
    <w:tbl>
      <w:tblPr>
        <w:tblW w:w="10205" w:type="dxa"/>
        <w:jc w:val="left"/>
        <w:tblInd w:w="0" w:type="dxa"/>
        <w:tblLayout w:type="fixed"/>
        <w:tblCellMar>
          <w:top w:w="28" w:type="dxa"/>
          <w:left w:w="28" w:type="dxa"/>
          <w:bottom w:w="28" w:type="dxa"/>
          <w:right w:w="28" w:type="dxa"/>
        </w:tblCellMar>
      </w:tblPr>
      <w:tblGrid>
        <w:gridCol w:w="2155"/>
        <w:gridCol w:w="1727"/>
        <w:gridCol w:w="1735"/>
        <w:gridCol w:w="211"/>
        <w:gridCol w:w="976"/>
        <w:gridCol w:w="109"/>
        <w:gridCol w:w="109"/>
        <w:gridCol w:w="109"/>
        <w:gridCol w:w="109"/>
        <w:gridCol w:w="211"/>
        <w:gridCol w:w="976"/>
        <w:gridCol w:w="109"/>
        <w:gridCol w:w="109"/>
        <w:gridCol w:w="109"/>
        <w:gridCol w:w="109"/>
        <w:gridCol w:w="211"/>
        <w:gridCol w:w="976"/>
        <w:gridCol w:w="155"/>
      </w:tblGrid>
      <w:tr>
        <w:trPr/>
        <w:tc>
          <w:tcPr>
            <w:tcW w:w="2155"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Loan Portfolio</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securities,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1-4 family residential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Non-owner occupied CRE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Owner occupied CRE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2,714,094 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2,537,959 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accounted for under the fair value option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2,543,194 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Deferred fees, unamortized premiums, basis adjustments, net</w:t>
            </w:r>
            <w:r>
              <w:rPr>
                <w:rFonts w:ascii="Times New Roman;serif" w:hAnsi="Times New Roman;serif"/>
                <w:b w:val="false"/>
                <w:color w:val="000000"/>
                <w:sz w:val="13"/>
              </w:rPr>
              <w:t>(1)(2)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(includes $1,758, $2,468, and $5,099 measured at fair value, respectively)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2,711,803 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2,540,096 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24,151 </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Deposit Portfolio</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deposit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1,632,997 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checking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deposits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2,461,543 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2,167,473 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2,845,964 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2,841,615 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2,529,129 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fair value adjustments on loans held for investment accounted for under the fair value option.</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basis adjustments related to the hedged portfolio accounted for under the portfolio layer method.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 (continued)</w:t>
      </w:r>
    </w:p>
    <w:tbl>
      <w:tblPr>
        <w:tblW w:w="9602" w:type="dxa"/>
        <w:jc w:val="left"/>
        <w:tblInd w:w="0" w:type="dxa"/>
        <w:tblLayout w:type="fixed"/>
        <w:tblCellMar>
          <w:top w:w="28" w:type="dxa"/>
          <w:left w:w="28" w:type="dxa"/>
          <w:bottom w:w="28" w:type="dxa"/>
          <w:right w:w="28" w:type="dxa"/>
        </w:tblCellMar>
      </w:tblPr>
      <w:tblGrid>
        <w:gridCol w:w="1642"/>
        <w:gridCol w:w="1441"/>
        <w:gridCol w:w="1446"/>
        <w:gridCol w:w="211"/>
        <w:gridCol w:w="976"/>
        <w:gridCol w:w="271"/>
        <w:gridCol w:w="109"/>
        <w:gridCol w:w="109"/>
        <w:gridCol w:w="109"/>
        <w:gridCol w:w="211"/>
        <w:gridCol w:w="976"/>
        <w:gridCol w:w="271"/>
        <w:gridCol w:w="109"/>
        <w:gridCol w:w="109"/>
        <w:gridCol w:w="109"/>
        <w:gridCol w:w="211"/>
        <w:gridCol w:w="976"/>
        <w:gridCol w:w="316"/>
      </w:tblGrid>
      <w:tr>
        <w:trPr/>
        <w:tc>
          <w:tcPr>
            <w:tcW w:w="1642"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or for the Three Months Ended </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Average Balance Sheets</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Interest-earning assets: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financial institutions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2,712,366 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2,684,756 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2,443,758 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3,007,310 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3,009,027 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2,685,039 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Noninterest-earning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3,128,694 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3,132,747 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2,809,536 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liabilities: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2,367,442 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2,047,570 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FHLB and Federal Reserve 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2,453,674 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2,482,337 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2,167,571 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365,291 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347,520 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352,391 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noninterest-bearing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385,185 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276,831 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256,780 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3,128,694 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3,132,747 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2,809,536 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Yields/Cost of funds (annualized)</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in other financial institutions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Correspondent bank stock</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held at fair value</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FHLB and Federal Reserve borrowings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rate spread</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 (continued)</w:t>
      </w:r>
    </w:p>
    <w:tbl>
      <w:tblPr>
        <w:tblW w:w="9333" w:type="dxa"/>
        <w:jc w:val="left"/>
        <w:tblInd w:w="0" w:type="dxa"/>
        <w:tblLayout w:type="fixed"/>
        <w:tblCellMar>
          <w:top w:w="28" w:type="dxa"/>
          <w:left w:w="28" w:type="dxa"/>
          <w:bottom w:w="28" w:type="dxa"/>
          <w:right w:w="28" w:type="dxa"/>
        </w:tblCellMar>
      </w:tblPr>
      <w:tblGrid>
        <w:gridCol w:w="1541"/>
        <w:gridCol w:w="1355"/>
        <w:gridCol w:w="1364"/>
        <w:gridCol w:w="211"/>
        <w:gridCol w:w="976"/>
        <w:gridCol w:w="271"/>
        <w:gridCol w:w="109"/>
        <w:gridCol w:w="109"/>
        <w:gridCol w:w="109"/>
        <w:gridCol w:w="211"/>
        <w:gridCol w:w="976"/>
        <w:gridCol w:w="271"/>
        <w:gridCol w:w="109"/>
        <w:gridCol w:w="109"/>
        <w:gridCol w:w="109"/>
        <w:gridCol w:w="211"/>
        <w:gridCol w:w="976"/>
        <w:gridCol w:w="316"/>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or for the Three Months Ended </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share and per share amounts)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 Quality</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(recoveries) charge-offs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to total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assets to total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non-accrual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to total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to average loans</w:t>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Under Management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7,275,876 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7,234,541 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7,497,361 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Market Data</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share at period end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Tangible book value per common share</w:t>
            </w:r>
            <w:r>
              <w:rPr>
                <w:rFonts w:ascii="Times New Roman;serif" w:hAnsi="Times New Roman;serif"/>
                <w:b w:val="false"/>
                <w:color w:val="000000"/>
                <w:sz w:val="13"/>
              </w:rPr>
              <w:t xml:space="preserve">(1)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outstanding shares, 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9,760,529 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9,733,704 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9,707,924 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outstanding shares, 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9,949,307 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9,900,420 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9,809,321 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 at period end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9,765,129 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9,728,968 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9,717,922 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Consolidated Capital</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Bank Capital</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CET1 to risk-weighted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w:t>
      </w:r>
    </w:p>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Represents a Non-GAAP financial measure. See “Reconciliation of Non-GAAP Financial Measures” for a reconciliation of our Non-GAAP measures to the most directly comparable GAAP financial measure.</w:t>
      </w:r>
    </w:p>
    <w:p>
      <w:pPr>
        <w:pStyle w:val="TextBody"/>
        <w:bidi w:val="0"/>
        <w:spacing w:lineRule="auto" w:line="288"/>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*Represents percentages that are not meaningful.</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First Western Financial,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Financial Summary (unaudited) (continued)</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Reconciliations of Non-GAAP Financial Measures</w:t>
      </w:r>
    </w:p>
    <w:tbl>
      <w:tblPr>
        <w:tblW w:w="10205" w:type="dxa"/>
        <w:jc w:val="left"/>
        <w:tblInd w:w="0" w:type="dxa"/>
        <w:tblLayout w:type="fixed"/>
        <w:tblCellMar>
          <w:top w:w="28" w:type="dxa"/>
          <w:left w:w="28" w:type="dxa"/>
          <w:bottom w:w="28" w:type="dxa"/>
          <w:right w:w="28" w:type="dxa"/>
        </w:tblCellMar>
      </w:tblPr>
      <w:tblGrid>
        <w:gridCol w:w="2029"/>
        <w:gridCol w:w="1770"/>
        <w:gridCol w:w="1782"/>
        <w:gridCol w:w="211"/>
        <w:gridCol w:w="826"/>
        <w:gridCol w:w="271"/>
        <w:gridCol w:w="109"/>
        <w:gridCol w:w="109"/>
        <w:gridCol w:w="109"/>
        <w:gridCol w:w="211"/>
        <w:gridCol w:w="826"/>
        <w:gridCol w:w="271"/>
        <w:gridCol w:w="109"/>
        <w:gridCol w:w="109"/>
        <w:gridCol w:w="109"/>
        <w:gridCol w:w="211"/>
        <w:gridCol w:w="826"/>
        <w:gridCol w:w="317"/>
      </w:tblGrid>
      <w:tr>
        <w:trPr/>
        <w:tc>
          <w:tcPr>
            <w:tcW w:w="2029"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or for the Three Months Ended </w:t>
            </w:r>
          </w:p>
        </w:tc>
      </w:tr>
      <w:tr>
        <w:trPr/>
        <w:tc>
          <w:tcPr>
            <w:tcW w:w="5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5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6"/>
              </w:rPr>
            </w:pPr>
            <w:r>
              <w:rPr>
                <w:rFonts w:ascii="Times New Roman;serif" w:hAnsi="Times New Roman;serif"/>
                <w:b/>
                <w:i/>
                <w:color w:val="000000"/>
                <w:sz w:val="16"/>
              </w:rPr>
              <w:t>(dollars in thousands, except share and per share amounts)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Tangible Common</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258,847 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other intangibles,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249,268 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227,323 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end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9,765,129 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9,728,968 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9,717,922 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book value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tangible common equity (annualized)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Efficiency</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19,099 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write-off of capitalized technology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OREO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non-interest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19,046 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non-interest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unrealized (loss) gain recognized on equity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gain (loss) on loans accounted for under the fair value option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Plus: (release of) provision for of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24,160 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558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myfw-20260723xex992a02.htm"/>
      <w:bookmarkStart w:id="2" w:name="ksmyfw20260723xex992a02"/>
      <w:bookmarkEnd w:id="1"/>
      <w:bookmarkEnd w:id="2"/>
      <w:r>
        <w:rPr/>
        <w:drawing>
          <wp:inline distT="0" distB="0" distL="0" distR="0">
            <wp:extent cx="10153650" cy="76200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jc w:val="center"/>
        <w:rPr>
          <w:color w:val="FFFFFF"/>
          <w:sz w:val="2"/>
        </w:rPr>
      </w:pPr>
      <w:r>
        <w:rPr>
          <w:color w:val="FFFFFF"/>
          <w:sz w:val="2"/>
        </w:rPr>
        <w:t xml:space="preserve">Second Quarter 2026 Conference Call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 Harbor 2 This presentation contains “forward-looking statements” within the meaning of Section 27A of the Securities Act of 1933, as amended, and Section 21E of the Securities Exchange Act of 1934, as amended. These forward-looking statements reflect the current views of First Western Financial, Inc.’s (“First Western”) management with respect to, among other things, future events and First Western’s financial performance. These statements are often, but not always, made through the use of words or phrases such as “may,” “should,” “could,” “predict,” “potential,” “believe,” “will likely result,” “expect,” “continue,” “will,” “anticipate,” “seek,” “estimate,” “intend,” “plan,” “position,” “project,” “future” “forecast,” “goal,” “target,” “would” and “outlook,” or the negative variations of those words or other comparable words of a future or forward-looking nature. These forward-looking statements are not historical facts, and are based on current expectations, estimates and projections about First Western’s industry, management’s beliefs and certain assumptions made by management, many of which, by their nature, are inherently uncertain and beyond First Western’s control. Accordingly, First Western cautions you that any such forward-looking statements are not guarantees of future performance and are subject to risks, assumptions and uncertainties that are difficult to predict. Although First Western believes that the expectations reflected in these forward-looking statements are reasonable as of the date made, actual results may prove to be materially different from the results expressed or implied by the forward-looking statements. The following risks and uncertainties, among others, could cause actual results and future events to differ materially from those set forth or contemplated in the forward-looking statements: the risk of geographic concentration in Colorado, Arizona, Wyoming, California, and Montana; the risk of changes in the economy affecting real estate values and liquidity; the risk in our ability to continue to originate residential real estate loans and sell such loans; risks specific to commercial loans and borrowers; the risk of claims and litigation pertaining to our fiduciary responsibilities; the risk of changes in interest rates could reduce our net interest margins and Net interest income; increased credit risk, including as a result of deterioration in economic conditions, could require us to increase our allowance for credit losses and could have a material adverse effect on our results of operations and financial condition; the risk in our ability to maintain a strong core deposit base or other low-cost funding sources. Additional information regarding these and other risks and uncertainties to which our business and future financial performance are subject is contained in our Annual Report on Form 10-K filed with the U.S. Securities and Exchange Commission (“SEC”) on February 27, 2026 and other documents we file with the SEC from time to time. All subsequent written and oral forward-looking statements attributable to First Western or persons acting on First Western’s behalf are expressly qualified in their entirety by this paragraph. Forward-looking statements speak only as of the date of this presentation. First Western undertakes no obligation to publicly update or otherwise revise any forward-looking statements, whether as a result of new information, future events or otherwise (except as required by law). This presentation contains certain non-GAAP financial measures intended to supplement, not substitute for, comparable GAAP measures. Reconciliations of non-GAAP financial measures to GAAP financial measures are provided at the end of this presentation. Numbers in the presentation may not sum due to rounding. Our common stock is not a deposit or savings account. Our common stock is not insured by the Federal Deposit Insurance Corporation or any governmental agency or instrumentality. Except as otherwise indicated, this presentation speaks as of the date hereof. The delivery of this presentation shall not, under any circumstances, create any implication that there has been no change in the affairs of the Company after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Overview of 2Q26 2Q26 Earnings • Net income available to common shareholders of $5.7 million, or $0.57, per diluted share • Diluted earnings per share increased $0.31, or 119%, compared to 2Q25 • Pre-tax, pre-provision net income increased $1.8 million, or 36%, compared to 2Q25 Continued Execution on Strategic Priorities • Continued focus on prudent risk management and a conservative approach to new loan production, supported by new banking talent that is helping drive solid loan growth • Average noninterest-bearing deposits increased 5.1% in 2Q26 • Stable asset quality with small decrease in non-performing assets and zero charge-offs Positive Trends in Key Metrics • Net interest income increased for the seventh consecutive quarter • Net interest margin increased for the third consecutive quarter • Increase in yield on interest-earning assets and decrease in cost of funds in the quarter • Further increase in tangible book value per share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Lato(regular, bold, italics) Body Copy / Subheadings / Small Text Descriptions 4 Net Income Available to Common Shareholders and Earnings per Share • Net income of $5.7 million increased 129% from 2Q25 • Diluted earnings per share of $0.57 increased 119% from 2Q25 • Tangible book value per share(1) increased 2.6% from $24.87 in 1Q26 to $25.53 in 2Q26 Net Income Available to Common Shareholders Diluted Earnings per Share $2,503 $3,186 $3,314 $6,208 $5,729 2Q25 3Q25 4Q25 1Q26 2Q26 $— $1,000 $2,000 $3,000 $4,000 $5,000 $6,000 $7,000 $0.26 $0.32 $0.34 $0.63 $0.57 2Q25 3Q25 4Q25 1Q26 2Q26 $— $0.20 $0.40 $0.60 $0.80 (1) See Non-GAAP reconciliation within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5 Loan Portfolio • Total loans held for investment increased $23.1 million primarily due to growth in the 1-4 family residential and Cash, securities, and other portfolios • Total loans held for investment increased for the fifth consecutive quarter and Total loans increased 7% year-over-year • New loan production diversified across markets and loan types • New loan production in 2Q26 of $114.7 million with a focus on relationship- based lending • Average rate on new loan production was 6.37% in 2Q26, an increase from 1Q26 and higher than the average rate of loans paying off in 2Q26 2Q25 1Q26 2Q26 Cash, securities and other $ 161,725 $ 164,119 $ 182,017 Consumer and other 15,778 20,036 19,236 Construction and development 255,870 195,230 196,954 1-4 family residential 1,012,662 1,069,542 1,089,697 Non-owner occupied CRE 655,954 780,279 768,528 Owner occupied CRE 196,692 212,177 222,514 Commercial and industrial 239,278 248,875 235,148 Total $ 2,537,959 $ 2,690,258 $ 2,714,094 Loans accounted for at fair value(2) 5,235 2,492 1,774 Total Loans HFI $ 2,543,194 $ 2,692,750 $ 2,715,868 Mortgage loans held for sale 24,151 28,426 24,675 Total Loans $ 2,567,345 $ 2,721,176 $ 2,740,543 (1) Represents unpaid principal balance. Excludes deferred fees, unamortized premiums, basis adjustments, net. (2) Excludes fair value adjustments on loans accounted for under the fair value option. ($ in thousands, as of quarter end) Loan Portfolio Composition(1) Loan Portfolio Details Loan Production &amp; Loan Payoffs Total Loans(1) $2,468 $2,594 $2,676 $2,718 $2,737 $2,721 $2,741 2Q25 3Q25 4Q25 1Q26 2Q26 1Q26 2Q26 $1,000 $1,500 $2,000 $2,500 $3,000 Average Period End $166.9 $145.7 $146.2 $115.8 $114.7 $122.6 $110.1 $131.3 $95.9 $100.9 Production Loan Payoffs 2Q25 3Q25 4Q25 1Q26 2Q26 $0 $50 $100 $150 $200 ($ in millions)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6 Total Deposits • Total deposits increased 0.4% from $2.84 billion in 1Q26 to $2.85 billion in 2Q26 due to growth in money market accounts, partially offset by a decrease in time deposit accounts • Noninterest-bearing deposits increased 0.5% from $380.1 million in 1Q26 to $381.8 million in 2Q26 • Average Noninterest-bearing deposits increased $17.8 million, or 5.1%, from $347.5 million in 1Q26 to $365.3 million in 2Q26 • Total deposits increased 12.6% from $2.53 billion in 2Q25 due to increases in money market deposit accounts and Noninterest-bearing accounts, partially offset by a decrease in time deposit accounts 2Q25 1Q26 2Q26 Money market deposit accounts $ 1,632,997 $ 1,945,207 $ 1,975,295 Time deposits 397,006 371,889 353,373 Interest checking accounts 123,967 130,821 122,394 Savings accounts 13,503 13,626 13,076 Noninterest-bearing accounts 361,656 380,072 381,826 Total Deposits $ 2,529,129 $ 2,841,615 $ 2,845,964 Deposit Portfolio Composition Total Deposits $2,400 $2,772 $2,747 $2,735 $2,733 $2,842 $2,846 2Q25 3Q25 4Q25 1Q26 2Q26 1Q26 2Q26 $1,000 $1,500 $2,000 $2,500 $3,000 Average Period End ($ in millions)($ in thousands, as of quarter 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7 Trust and Investment Management • Total assets under management (AUM) increased $41 million, or 0.6%, during the quarter to $7.28 billion • The increase in AUM from 1Q26 was primarily attributable to improving market conditions • Investment Agency AUM increased $91 million, or 5.6%, in the quarter and $122 million, or 7.7%, year- over-year ($ in millions, as of quarter end) Total Assets Under Management $7,497 $7,433 $7,278 $7,235 $7,276 Investment Agency Managed Trust 401(k)/Retirement Directed Trust Custody 2Q25 3Q25 4Q25 1Q26 2Q26 $— $1,000 $2,000 $3,000 $4,000 $5,000 $6,000 $7,000 $8,000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 See Non-GAAP reconciliation within the appendix. Gross Revenue Gross Revenue(1) Gross Revenue(1) 8 $24.2 $26.3 $26.7 $27.6 $28.1 Wealth Management Mortgage 2Q25 3Q25 4Q25 1Q26 2Q26 $— $5.0 $10.0 $15.0 $20.0 $25.0 $30.0 $35.0 • Gross revenue(1) increased 1.8% from $27.6 million in 1Q26 to $28.1 million in 2Q26 • Net interest income increased 4.3% from the prior quarter, primarily driven by a 9 basis point increase in net interest margin • Non-interest income decreased $0.3 million from the prior quarter, primarily driven by decreases in Net gain on mortgage loans and Risk management and insurance fees, offset by an increase in Bank fees Non-interest Income $6,385 22.7% Net Interest Income $21,764 77.3% ($ in thousands)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9 Net Interest Income and Net Interest Margin • Net interest income increased $0.9 million, or 4.3%, from $20.9 million in 1Q26 to $21.8 million in 2Q26, primarily driven by a 9 basis point increase in net interest margin and an increase in day count • Net interest margin increased 9 basis points during the quarter from 2.81% in 1Q26 to 2.90% in 2Q26, primarily due to a decrease in cost of funds and an improved mix shift in average interest-earning assets • Interest-earning assets yield increased 4 basis points due to improved mix shift and an increase in loan yields, while the 4 basis point decrease in cost of funds was due to improved mix shift and lower rates on time deposits • Net interest income increased 21.7% from 2Q25 primarily driven by an increase in average interest- earning assets and a 23 basis point increase in net interest margin Net Interest Income Net Interest Margin $17,884 $19,454 $20,577 $20,883 $21,764 2Q25 3Q25 4Q25 1Q26 2Q26 $— $5,000 $10,000 $15,000 $20,000 $25,000 2.67% 2.54% 2.71% 2.81% 2.90% 2Q25 3Q25 4Q25 1Q26 2Q26 —% 0.50% 1.00% 1.50% 2.00% 2.50% 3.00% 3.50% 4.00%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10 Non-Interest Income • Non-interest income decreased $0.3 million, or 4.1%, to $6.4 million from the prior quarter, primarily driven by decreases in Net gain on mortgage loans and Risk management and insurance fees, partially offset by an increase in Bank fees • The decrease in Net gain on mortgage loans was driven by lower origination volume due to higher mortgage rates • The decrease in Risk management and insurance fees was driven by smaller case size • The increase in Bank fees was driven by increases in prepayment penalty and swap fees Total Non-Interest Income Trust and Investment Management Fees $6,305 $6,842 $6,079 $6,656 $6,385 Trust and Investment Management Fees Bank Fees Net Gain on Mortgage Loans Net gain on OREO Risk Management and Insurance Fees Other 2Q25 3Q25 4Q25 1Q26 2Q26 $(2,000) $— $2,000 $4,000 $6,000 $8,000 $10,000 $4,512 $4,629 $4,634 $4,751 $4,742 2Q25 3Q25 4Q25 1Q26 2Q26 $— $2,000 $4,000 $6,000 ($ in thousands)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11 Non-Interest Expense and Efficiency Ratio • Non-interest expense increased to $21.2 million from $20.2 million in the first quarter of 2026, primarily driven by increases in Technology and information systems, Data processing, and Marketing • The increase in Technology and information systems was primarily attributable a $0.4 million nonrecurring charge related to the write-off of certain previously capitalized technology assets, which negatively impacted diluted EPS by $0.03 • The efficiency ratio was 74.03% as of 2Q26, compared to 73.11% as of 1Q26 and 78.83% as of 2Q25 (1) See Non-GAAP reconciliation within the appendix. Adjusted Non-Interest Expense(1) Operating Efficiency Ratio(1) (1) (1) (1) $19,046 $20,066 $19,996 $20,164 $20,832 2Q25 3Q25 4Q25 1Q26 2Q26 $— $5,000 $10,000 $15,000 $20,000 $25,000 78.83% 76.38% 74.88% 73.11% 74.03% 2Q25 3Q25 4Q25 1Q26 2Q26 —% 20.00% 40.00% 60.00% 80.00% 100.00% ($ in thousands)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12 Asset Quality • Stable non-performing assets and non-accrual loans in 2Q26 • Zero charge-offs for the second consecutive quarter • Decreased reserve on individually analyzed loans and improved economic forecasts contributed to a provision release of $0.5 million during 2Q26 • ACL/Total loans at 0.75% for 2Q26 and 0.77% for 1Q26 Non-Performing Assets/Total Assets Net Charge-Offs/Average Loans 0.62% 0.70% 0.62% 0.50% 0.50% 2Q25 3Q25 4Q25 1Q26 2Q26 —% 0.20% 0.40% 0.60% 0.80% 1.00% 1.20% 0.03% 0.01% 0.02% 0.00% 0.00% 2Q25 3Q25 4Q25 1Q26 2Q26 —% 0.05% 0.10% 0.15% 0.20% 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13 Near Term Outlook • First Western's markets continue to perform well and the strength of our balance sheet and franchise provides opportunities to capitalize on market disruption and challenges being faced by competing banks to add new clients and banking talent • New leadership added in Arizona, which represents good growth opportunities • Loan pipeline remains strong and should continue to result in solid loan growth in 2026 • Positive trends expected to continue ◦ Solid loan and deposit growth ◦ Continued expansion in net interest margin ◦ More robust business development activities in Wealth Management business ◦ Higher level of mortgage production resulting from MLO recruiting, improved gain on sale margin ◦ More operating leverage resulting from continued revenue growth with disciplined expense control ◦ No meaningful deterioration expected in asset quality given the trends we are seeing in the portfolio and our clients continuing to perform well • Positive trends in key areas expected to continue, which should result in steady improvement in financial performance and further value being created for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15 Capital and Liquidity Overview Liquidity Funding Sources (as of 06/30/26) (1) See Non-GAAP reconciliation within the appendix. (2) Based on internal policy guidelines. Consolidated Capital Ratios (as of 06/30/26) Tangible Common Equity / TBV per Share(1) ($ in thousands) Liquidity Reserves: Total Available Cash $ 173,049 Unpledged Investment Securities 171,367 Borrowed Funds: Secured: FHLB Available 576,003 FRB Available 20,863 Other: Brokered Remaining Capacity 307,591 Unsecured: Credit Lines 29,000 Total Liquidity Funding Sources $ 1,277,873 Loan-to-Deposit Ratio 95.3 % 9.93% 9.93% 12.47% 8.06% Tier 1 Capital to Risk- Weighted Assets CET1 to Risk- Weighted Assets Total Capital to Risk- Weighted Assets Tier 1 Capital to Average Assets —% 2.00% 4.00% 6.00% 8.00% 10.00% 12.00% 14.00% (2) (TCE $ in thousands) $130,704 $187,139 $208,760 $210,884 $220,695 $224,979 $227,323 $230,022 $234,138 $241,992 $249,268 $16.44 $19.87 $21.99 $22.01 $22.83 $23.18 $23.39 $23.68 $24.07 $24.87 $25.53 TCE TBV/Share 4Q20 4Q21 4Q22 4Q23 4Q24 1Q25 2Q25 3Q25 4Q25 1Q26 2Q26 $— $40,000 $80,000 $120,000 $160,000 $200,000 $240,000 $280,000 $— $4 $8 $12 $16 $20 $24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16 Non-GAAP Reconciliation Consolidated Tangible Common Book Value Per Share (Dollars in thousands) June 30, 2025 September 30, 2025 December 31, 2025 March 31, 2026 June 30, 2026 Total shareholders' equity $ 258,847 $ 261,495 $ 265,560 $ 273,365 $ 280,593 Goodwill and other intangibles, net 31,524 31,473 31,422 31,373 31,325 Tangible common equity $ 227,323 $ 230,022 $ 234,138 $ 241,992 $ 249,268 Common shares outstanding, end of period 9,717,922 9,714,711 9,725,731 9,728,968 9,765,129 Tangible common book value per share $ 23.39 $ 23.68 $ 24.07 $ 24.87 $ 25.53 Net income available to common shareholders $ 5,729 Return on tangible common equity (annualized) 9.19 %  Consolidated Efficiency Ratio For the Three Months Ended, (Dollars in thousands) June 30, 2025 September 30, 2025 December 31, 2025 March 31, 2026 June 30, 2026 Non-interest expense $ 19,099 $ 20,074 $ 21,306 $ 20,164 $ 21,217 Less: write-off of capitalized technology assets — — — — 380 Less: OREO expenses and write-downs 53 8 1,310 — 5 Adjusted non-interest expense $ 19,046 $ 20,066 $ 19,996 $ 20,164 $ 20,832 Net interest income $ 17,884 $ 19,454 $ 20,577 $ 20,883 $ 21,764 Non-interest income 6,305 6,842 6,079 6,656 6,385 Less: unrealized gain (loss) recognized on equity securities 3 6 (6) (4) (2) Less: net gain (loss) on loans accounted for under the fair value option 26 18 (44) (39) 10 Adjusted non-interest income $ 6,276 $ 6,818 $ 6,129 $ 6,699 $ 6,377 Adjusted total income $ 24,160 $ 26,272 $ 26,706 $ 27,582 $ 28,141 Efficiency ratio 78.83 % 76.38 % 74.88 % 73.11 % 74.03 %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157 180 196 164 166 168 62 94 111 154 161 132 122 125 129 76 78 86 255 255 255 Chart color Table color Special Headlines Slide Headlines / Text on light background Primary Colors Secondary Colors Primary Background / Call Out Boxes / Text on dark background Chart color Table Color Tertiary Colors Chart color Table Color Chart Color Chart Color Approved Fonts AaBbCc 123 Lora (bold) Slide Headlines / Special Headlines AaBbCc 123 Lato (regular, bold, italics) Body Copy / Subheadings / Small Text Descriptions 17 Non-GAAP Reconciliation Pre-tax, Pre-Provision Net Income For the Three Months Ended, (Dollars in thousands) June 30, 2025 March 31, 2026 June 30, 2026 Income before income taxes $ 3,317 $ 8,103 $ 7,401 Plus: provision for (release of) credit losses 1,773 (728) (469) Pre-tax, pre-provision net income $ 5,090 $ 7,375 $ 6,932 Allocation of the Allowance for Credit Losses (ACL) As of As of 6/30/2026 As of 12/31/2025 (Dollars in thousands) ACL Amount % of Loans % of ACL %(1) ACL Amount % of Loans % of ACL %(1) Commercial: Construction and Development $ 2,179 1.1 % 10.7 % 7.3 % $ 2,210 1.2 % 10.3 % 7.2 % Non-Owner Occupied CRE 3,766 0.5 18.6 28.3 4,359 0.5 20.4 30.7 Owner Occupied CRE 924 0.4 4.6 8.2 846 0.4 3.9 7.7 Commercial and Industrial 5,714 2.4 28.2 8.7 6,892 3.0 32.1 8.5 Total Commercial 12,583 0.9 62.0 52.5 14,307 1.0 66.7 54.1 Consumer: Cash, Securities and Other 1,229 0.7 6.1 6.7 1,150 0.7 5.4 6.2 Consumer and Other 413 2.1 2.0 0.7 138 0.7 0.6 0.7 1-4 Family Residential 6,072 0.6 29.9 40.1 5,846 0.6 27.3 39.0 Total Consumer 7,714 0.6 38.0 47.5 7,134 0.6 33.3 45.9 Total allowance for credit losses $ 20,297 0.7 % 100.0 % 100.0 % $ 21,441 0.8 % 100.0 % 100.0 % (1) Represents the percentage of loans to total loans in the respective category.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9378</Words>
  <Characters>50530</Characters>
  <CharactersWithSpaces>59396</CharactersWithSpaces>
  <Paragraphs>1124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myfw-20260723xex992a02</dc:title>
</cp:coreProperties>
</file>